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ackground w:color="FFFFFF"/>
  <w:body>
    <w:p w:rsidR="00000000" w:rsidDel="00000000" w:rsidP="00000000" w:rsidRDefault="00000000" w:rsidRPr="00000000" w14:paraId="00000001">
      <w:pPr>
        <w:rPr>
          <w:b w:val="1"/>
          <w:sz w:val="24"/>
          <w:szCs w:val="24"/>
          <w:u w:val="single"/>
        </w:rPr>
      </w:pPr>
      <w:r w:rsidDel="00000000" w:rsidR="00000000" w:rsidRPr="00000000">
        <w:rPr>
          <w:b w:val="1"/>
          <w:sz w:val="24"/>
          <w:szCs w:val="24"/>
          <w:u w:val="single"/>
          <w:rtl w:val="0"/>
        </w:rPr>
        <w:t xml:space="preserve">Financial Management Hyperlinks to useful Resources</w:t>
      </w:r>
    </w:p>
    <w:p w:rsidR="00000000" w:rsidDel="00000000" w:rsidP="00000000" w:rsidRDefault="00000000" w:rsidRPr="00000000" w14:paraId="00000002">
      <w:pPr>
        <w:rPr>
          <w:b w:val="1"/>
          <w:sz w:val="24"/>
          <w:szCs w:val="24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>
          <w:b w:val="1"/>
          <w:sz w:val="24"/>
          <w:szCs w:val="24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>
          <w:b w:val="1"/>
          <w:sz w:val="24"/>
          <w:szCs w:val="24"/>
          <w:u w:val="singl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8445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8445"/>
        <w:tblGridChange w:id="0">
          <w:tblGrid>
            <w:gridCol w:w="8445"/>
          </w:tblGrid>
        </w:tblGridChange>
      </w:tblGrid>
      <w:tr>
        <w:trPr>
          <w:cantSplit w:val="0"/>
          <w:trHeight w:val="345" w:hRule="atLeast"/>
          <w:tblHeader w:val="0"/>
        </w:trPr>
        <w:tc>
          <w:tcPr>
            <w:tcBorders>
              <w:top w:color="cccccc" w:space="0" w:sz="5" w:val="single"/>
              <w:left w:color="cccccc" w:space="0" w:sz="5" w:val="single"/>
              <w:bottom w:color="e4e2e0" w:space="0" w:sz="5" w:val="single"/>
              <w:right w:color="e4e2e0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05">
            <w:pPr>
              <w:rPr>
                <w:sz w:val="20"/>
                <w:szCs w:val="20"/>
              </w:rPr>
            </w:pPr>
            <w:hyperlink r:id="rId6">
              <w:r w:rsidDel="00000000" w:rsidR="00000000" w:rsidRPr="00000000">
                <w:rPr>
                  <w:color w:val="1155cc"/>
                  <w:sz w:val="24"/>
                  <w:szCs w:val="24"/>
                  <w:u w:val="single"/>
                  <w:rtl w:val="0"/>
                </w:rPr>
                <w:t xml:space="preserve">Who can run your charity's finances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5" w:hRule="atLeast"/>
          <w:tblHeader w:val="0"/>
        </w:trPr>
        <w:tc>
          <w:tcPr>
            <w:tcBorders>
              <w:top w:color="cccccc" w:space="0" w:sz="5" w:val="single"/>
              <w:left w:color="cccccc" w:space="0" w:sz="5" w:val="single"/>
              <w:bottom w:color="e4e2e0" w:space="0" w:sz="5" w:val="single"/>
              <w:right w:color="e4e2e0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06">
            <w:pPr>
              <w:rPr>
                <w:sz w:val="20"/>
                <w:szCs w:val="20"/>
              </w:rPr>
            </w:pPr>
            <w:hyperlink r:id="rId7">
              <w:r w:rsidDel="00000000" w:rsidR="00000000" w:rsidRPr="00000000">
                <w:rPr>
                  <w:color w:val="1155cc"/>
                  <w:sz w:val="24"/>
                  <w:szCs w:val="24"/>
                  <w:u w:val="single"/>
                  <w:rtl w:val="0"/>
                </w:rPr>
                <w:t xml:space="preserve">Preparing a charity annual return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5" w:hRule="atLeast"/>
          <w:tblHeader w:val="0"/>
        </w:trPr>
        <w:tc>
          <w:tcPr>
            <w:tcBorders>
              <w:top w:color="cccccc" w:space="0" w:sz="5" w:val="single"/>
              <w:left w:color="cccccc" w:space="0" w:sz="5" w:val="single"/>
              <w:bottom w:color="e4e2e0" w:space="0" w:sz="5" w:val="single"/>
              <w:right w:color="e4e2e0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07">
            <w:pPr>
              <w:rPr>
                <w:sz w:val="20"/>
                <w:szCs w:val="20"/>
              </w:rPr>
            </w:pPr>
            <w:hyperlink r:id="rId8">
              <w:r w:rsidDel="00000000" w:rsidR="00000000" w:rsidRPr="00000000">
                <w:rPr>
                  <w:color w:val="1155cc"/>
                  <w:sz w:val="24"/>
                  <w:szCs w:val="24"/>
                  <w:u w:val="single"/>
                  <w:rtl w:val="0"/>
                </w:rPr>
                <w:t xml:space="preserve">Preparing a charity's annual accounts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5" w:hRule="atLeast"/>
          <w:tblHeader w:val="0"/>
        </w:trPr>
        <w:tc>
          <w:tcPr>
            <w:tcBorders>
              <w:top w:color="cccccc" w:space="0" w:sz="5" w:val="single"/>
              <w:left w:color="cccccc" w:space="0" w:sz="5" w:val="single"/>
              <w:bottom w:color="e4e2e0" w:space="0" w:sz="5" w:val="single"/>
              <w:right w:color="e4e2e0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08">
            <w:pPr>
              <w:rPr>
                <w:sz w:val="20"/>
                <w:szCs w:val="20"/>
              </w:rPr>
            </w:pPr>
            <w:hyperlink r:id="rId9">
              <w:r w:rsidDel="00000000" w:rsidR="00000000" w:rsidRPr="00000000">
                <w:rPr>
                  <w:color w:val="1155cc"/>
                  <w:sz w:val="24"/>
                  <w:szCs w:val="24"/>
                  <w:u w:val="single"/>
                  <w:rtl w:val="0"/>
                </w:rPr>
                <w:t xml:space="preserve">Preparing a charity's annual report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5" w:hRule="atLeast"/>
          <w:tblHeader w:val="0"/>
        </w:trPr>
        <w:tc>
          <w:tcPr>
            <w:tcBorders>
              <w:top w:color="cccccc" w:space="0" w:sz="5" w:val="single"/>
              <w:left w:color="cccccc" w:space="0" w:sz="5" w:val="single"/>
              <w:bottom w:color="e4e2e0" w:space="0" w:sz="5" w:val="single"/>
              <w:right w:color="e4e2e0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09">
            <w:pPr>
              <w:rPr>
                <w:sz w:val="20"/>
                <w:szCs w:val="20"/>
              </w:rPr>
            </w:pPr>
            <w:hyperlink r:id="rId10">
              <w:r w:rsidDel="00000000" w:rsidR="00000000" w:rsidRPr="00000000">
                <w:rPr>
                  <w:color w:val="1155cc"/>
                  <w:sz w:val="24"/>
                  <w:szCs w:val="24"/>
                  <w:u w:val="single"/>
                  <w:rtl w:val="0"/>
                </w:rPr>
                <w:t xml:space="preserve">CIC34 annual report forms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5" w:hRule="atLeast"/>
          <w:tblHeader w:val="0"/>
        </w:trPr>
        <w:tc>
          <w:tcPr>
            <w:tcBorders>
              <w:top w:color="cccccc" w:space="0" w:sz="5" w:val="single"/>
              <w:left w:color="cccccc" w:space="0" w:sz="5" w:val="single"/>
              <w:bottom w:color="e4e2e0" w:space="0" w:sz="5" w:val="single"/>
              <w:right w:color="e4e2e0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0A">
            <w:pPr>
              <w:rPr>
                <w:sz w:val="20"/>
                <w:szCs w:val="20"/>
              </w:rPr>
            </w:pPr>
            <w:hyperlink r:id="rId11">
              <w:r w:rsidDel="00000000" w:rsidR="00000000" w:rsidRPr="00000000">
                <w:rPr>
                  <w:color w:val="1155cc"/>
                  <w:sz w:val="24"/>
                  <w:szCs w:val="24"/>
                  <w:u w:val="single"/>
                  <w:rtl w:val="0"/>
                </w:rPr>
                <w:t xml:space="preserve">How to set a reserves policy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5" w:hRule="atLeast"/>
          <w:tblHeader w:val="0"/>
        </w:trPr>
        <w:tc>
          <w:tcPr>
            <w:tcBorders>
              <w:top w:color="cccccc" w:space="0" w:sz="5" w:val="single"/>
              <w:left w:color="cccccc" w:space="0" w:sz="5" w:val="single"/>
              <w:bottom w:color="e4e2e0" w:space="0" w:sz="5" w:val="single"/>
              <w:right w:color="e4e2e0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0B">
            <w:pPr>
              <w:rPr>
                <w:sz w:val="20"/>
                <w:szCs w:val="20"/>
              </w:rPr>
            </w:pPr>
            <w:hyperlink r:id="rId12">
              <w:r w:rsidDel="00000000" w:rsidR="00000000" w:rsidRPr="00000000">
                <w:rPr>
                  <w:color w:val="1155cc"/>
                  <w:sz w:val="24"/>
                  <w:szCs w:val="24"/>
                  <w:u w:val="single"/>
                  <w:rtl w:val="0"/>
                </w:rPr>
                <w:t xml:space="preserve">Reserves policies made simple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5" w:hRule="atLeast"/>
          <w:tblHeader w:val="0"/>
        </w:trPr>
        <w:tc>
          <w:tcPr>
            <w:tcBorders>
              <w:top w:color="cccccc" w:space="0" w:sz="5" w:val="single"/>
              <w:left w:color="cccccc" w:space="0" w:sz="5" w:val="single"/>
              <w:bottom w:color="e4e2e0" w:space="0" w:sz="5" w:val="single"/>
              <w:right w:color="e4e2e0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0C">
            <w:pPr>
              <w:rPr>
                <w:sz w:val="20"/>
                <w:szCs w:val="20"/>
              </w:rPr>
            </w:pPr>
            <w:hyperlink r:id="rId13">
              <w:r w:rsidDel="00000000" w:rsidR="00000000" w:rsidRPr="00000000">
                <w:rPr>
                  <w:color w:val="1155cc"/>
                  <w:sz w:val="24"/>
                  <w:szCs w:val="24"/>
                  <w:u w:val="single"/>
                  <w:rtl w:val="0"/>
                </w:rPr>
                <w:t xml:space="preserve">Internal financial controls policy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5" w:hRule="atLeast"/>
          <w:tblHeader w:val="0"/>
        </w:trPr>
        <w:tc>
          <w:tcPr>
            <w:tcBorders>
              <w:top w:color="cccccc" w:space="0" w:sz="5" w:val="single"/>
              <w:left w:color="cccccc" w:space="0" w:sz="5" w:val="single"/>
              <w:bottom w:color="e4e2e0" w:space="0" w:sz="5" w:val="single"/>
              <w:right w:color="e4e2e0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0D">
            <w:pPr>
              <w:rPr>
                <w:sz w:val="20"/>
                <w:szCs w:val="20"/>
              </w:rPr>
            </w:pPr>
            <w:hyperlink r:id="rId14">
              <w:r w:rsidDel="00000000" w:rsidR="00000000" w:rsidRPr="00000000">
                <w:rPr>
                  <w:color w:val="1155cc"/>
                  <w:sz w:val="24"/>
                  <w:szCs w:val="24"/>
                  <w:u w:val="single"/>
                  <w:rtl w:val="0"/>
                </w:rPr>
                <w:t xml:space="preserve">Charities and tax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5" w:hRule="atLeast"/>
          <w:tblHeader w:val="0"/>
        </w:trPr>
        <w:tc>
          <w:tcPr>
            <w:tcBorders>
              <w:top w:color="cccccc" w:space="0" w:sz="5" w:val="single"/>
              <w:left w:color="cccccc" w:space="0" w:sz="5" w:val="single"/>
              <w:bottom w:color="e4e2e0" w:space="0" w:sz="5" w:val="single"/>
              <w:right w:color="e4e2e0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0E">
            <w:pPr>
              <w:rPr>
                <w:sz w:val="20"/>
                <w:szCs w:val="20"/>
              </w:rPr>
            </w:pPr>
            <w:hyperlink r:id="rId15">
              <w:r w:rsidDel="00000000" w:rsidR="00000000" w:rsidRPr="00000000">
                <w:rPr>
                  <w:color w:val="1155cc"/>
                  <w:sz w:val="24"/>
                  <w:szCs w:val="24"/>
                  <w:u w:val="single"/>
                  <w:rtl w:val="0"/>
                </w:rPr>
                <w:t xml:space="preserve">Preparing and filing annual accounts for a limited company (including CICs)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5" w:hRule="atLeast"/>
          <w:tblHeader w:val="0"/>
        </w:trPr>
        <w:tc>
          <w:tcPr>
            <w:tcBorders>
              <w:top w:color="cccccc" w:space="0" w:sz="5" w:val="single"/>
              <w:left w:color="cccccc" w:space="0" w:sz="5" w:val="single"/>
              <w:bottom w:color="e4e2e0" w:space="0" w:sz="5" w:val="single"/>
              <w:right w:color="e4e2e0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0F">
            <w:pPr>
              <w:rPr>
                <w:sz w:val="20"/>
                <w:szCs w:val="20"/>
              </w:rPr>
            </w:pPr>
            <w:hyperlink r:id="rId16">
              <w:r w:rsidDel="00000000" w:rsidR="00000000" w:rsidRPr="00000000">
                <w:rPr>
                  <w:color w:val="1155cc"/>
                  <w:sz w:val="24"/>
                  <w:szCs w:val="24"/>
                  <w:u w:val="single"/>
                  <w:rtl w:val="0"/>
                </w:rPr>
                <w:t xml:space="preserve">Online Banking Guidance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0">
      <w:pPr>
        <w:rPr/>
      </w:pPr>
      <w:r w:rsidDel="00000000" w:rsidR="00000000" w:rsidRPr="00000000">
        <w:rPr>
          <w:rtl w:val="0"/>
        </w:rPr>
      </w:r>
    </w:p>
    <w:sectPr>
      <w:headerReference r:id="rId17" w:type="default"/>
      <w:pgSz w:h="15840" w:w="12240" w:orient="portrait"/>
      <w:pgMar w:bottom="1320.9448818897638" w:top="1320.9448818897638" w:left="1320.9448818897638" w:right="1320.9448818897638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1">
    <w:pPr>
      <w:rPr/>
    </w:pPr>
    <w:r w:rsidDel="00000000" w:rsidR="00000000" w:rsidRPr="00000000">
      <w:rPr/>
      <w:drawing>
        <wp:anchor allowOverlap="1" behindDoc="0" distB="0" distT="0" distL="114300" distR="114300" hidden="0" layoutInCell="1" locked="0" relativeHeight="0" simplePos="0">
          <wp:simplePos x="0" y="0"/>
          <wp:positionH relativeFrom="margin">
            <wp:posOffset>0</wp:posOffset>
          </wp:positionH>
          <wp:positionV relativeFrom="page">
            <wp:posOffset>457200</wp:posOffset>
          </wp:positionV>
          <wp:extent cx="1817370" cy="859790"/>
          <wp:effectExtent b="0" l="0" r="0" t="0"/>
          <wp:wrapSquare wrapText="bothSides" distB="0" distT="0" distL="114300" distR="114300"/>
          <wp:docPr id="1" name="image1.jpg"/>
          <a:graphic>
            <a:graphicData uri="http://schemas.openxmlformats.org/drawingml/2006/picture">
              <pic:pic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 b="2031" l="0" r="0" t="2031"/>
                  <a:stretch>
                    <a:fillRect/>
                  </a:stretch>
                </pic:blipFill>
                <pic:spPr>
                  <a:xfrm>
                    <a:off x="0" y="0"/>
                    <a:ext cx="1817370" cy="859790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isplayBackgroundShape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_GB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hyperlink" Target="https://www.gov.uk/guidance/charity-financial-reserves" TargetMode="External"/><Relationship Id="rId10" Type="http://schemas.openxmlformats.org/officeDocument/2006/relationships/hyperlink" Target="https://www.gov.uk/government/publications/form-cic34-community-interest-company-report" TargetMode="External"/><Relationship Id="rId13" Type="http://schemas.openxmlformats.org/officeDocument/2006/relationships/hyperlink" Target="https://www.gov.uk/government/publications/internal-financial-controls-for-charities-cc8" TargetMode="External"/><Relationship Id="rId12" Type="http://schemas.openxmlformats.org/officeDocument/2006/relationships/hyperlink" Target="http://www.sayervincent.co.uk/wp-content/uploads/2015/07/ReservesPoliciesMadeSimple-SayerVincent-July2015.pdf" TargetMode="Externa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s://www.gov.uk/prepare-charitys-annual-accounts" TargetMode="External"/><Relationship Id="rId15" Type="http://schemas.openxmlformats.org/officeDocument/2006/relationships/hyperlink" Target="https://www.gov.uk/prepare-file-annual-accounts-for-limited-company" TargetMode="External"/><Relationship Id="rId14" Type="http://schemas.openxmlformats.org/officeDocument/2006/relationships/hyperlink" Target="https://www.gov.uk/charities-and-tax" TargetMode="External"/><Relationship Id="rId17" Type="http://schemas.openxmlformats.org/officeDocument/2006/relationships/header" Target="header1.xml"/><Relationship Id="rId16" Type="http://schemas.openxmlformats.org/officeDocument/2006/relationships/hyperlink" Target="https://www.getsafeonline.org/business/articles/guidelines-for-charities/" TargetMode="External"/><Relationship Id="rId5" Type="http://schemas.openxmlformats.org/officeDocument/2006/relationships/styles" Target="styles.xml"/><Relationship Id="rId6" Type="http://schemas.openxmlformats.org/officeDocument/2006/relationships/hyperlink" Target="https://www.gov.uk/who-can-run-charity-finances" TargetMode="External"/><Relationship Id="rId7" Type="http://schemas.openxmlformats.org/officeDocument/2006/relationships/hyperlink" Target="https://www.gov.uk/guidance/prepare-a-charity-annual-return" TargetMode="External"/><Relationship Id="rId8" Type="http://schemas.openxmlformats.org/officeDocument/2006/relationships/hyperlink" Target="https://www.gov.uk/prepare-charitys-annual-accounts" TargetMode="Externa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