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bookmarkStart w:colFirst="0" w:colLast="0" w:name="_heading=h.gjdgxs" w:id="0"/>
      <w:bookmarkEnd w:id="0"/>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Fact sheet 2b: The Discrimination and Equality Act 2010</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3">
      <w:pPr>
        <w:ind w:left="0" w:firstLine="0"/>
        <w:jc w:val="both"/>
        <w:rPr>
          <w:b w:val="0"/>
        </w:rPr>
      </w:pPr>
      <w:r w:rsidDel="00000000" w:rsidR="00000000" w:rsidRPr="00000000">
        <w:rPr>
          <w:b w:val="0"/>
          <w:rtl w:val="0"/>
        </w:rPr>
        <w:t xml:space="preserve">In a nutshell, we recommend that organisations follow the</w:t>
      </w:r>
      <w:r w:rsidDel="00000000" w:rsidR="00000000" w:rsidRPr="00000000">
        <w:rPr>
          <w:b w:val="0"/>
          <w:color w:val="7030a0"/>
          <w:rtl w:val="0"/>
        </w:rPr>
        <w:t xml:space="preserve"> </w:t>
      </w:r>
      <w:hyperlink r:id="rId7">
        <w:r w:rsidDel="00000000" w:rsidR="00000000" w:rsidRPr="00000000">
          <w:rPr>
            <w:b w:val="0"/>
            <w:color w:val="7030a0"/>
            <w:rtl w:val="0"/>
          </w:rPr>
          <w:t xml:space="preserve">Equality Act 2010</w:t>
        </w:r>
      </w:hyperlink>
      <w:r w:rsidDel="00000000" w:rsidR="00000000" w:rsidRPr="00000000">
        <w:rPr>
          <w:b w:val="0"/>
          <w:rtl w:val="0"/>
        </w:rPr>
        <w:t xml:space="preserve"> in all aspects of volunteer management and recruitment. The Act protects individuals with the following </w:t>
      </w:r>
      <w:r w:rsidDel="00000000" w:rsidR="00000000" w:rsidRPr="00000000">
        <w:rPr>
          <w:b w:val="0"/>
          <w:i w:val="1"/>
          <w:rtl w:val="0"/>
        </w:rPr>
        <w:t xml:space="preserve">protected characteristics</w:t>
      </w:r>
      <w:r w:rsidDel="00000000" w:rsidR="00000000" w:rsidRPr="00000000">
        <w:rPr>
          <w:b w:val="0"/>
          <w:rtl w:val="0"/>
        </w:rPr>
        <w:t xml:space="preserve"> from discrimination:</w:t>
      </w:r>
    </w:p>
    <w:tbl>
      <w:tblPr>
        <w:tblStyle w:val="Table1"/>
        <w:tblW w:w="7748.0" w:type="dxa"/>
        <w:jc w:val="left"/>
        <w:tblInd w:w="72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499"/>
        <w:gridCol w:w="4249"/>
        <w:tblGridChange w:id="0">
          <w:tblGrid>
            <w:gridCol w:w="3499"/>
            <w:gridCol w:w="4249"/>
          </w:tblGrid>
        </w:tblGridChange>
      </w:tblGrid>
      <w:tr>
        <w:trPr>
          <w:cantSplit w:val="0"/>
          <w:tblHeader w:val="0"/>
        </w:trPr>
        <w:tc>
          <w:tcPr/>
          <w:p w:rsidR="00000000" w:rsidDel="00000000" w:rsidP="00000000" w:rsidRDefault="00000000" w:rsidRPr="00000000" w14:paraId="00000004">
            <w:pPr>
              <w:numPr>
                <w:ilvl w:val="0"/>
                <w:numId w:val="1"/>
              </w:numPr>
              <w:spacing w:line="276" w:lineRule="auto"/>
              <w:ind w:left="273" w:hanging="284"/>
              <w:rPr>
                <w:b w:val="0"/>
              </w:rPr>
            </w:pPr>
            <w:r w:rsidDel="00000000" w:rsidR="00000000" w:rsidRPr="00000000">
              <w:rPr>
                <w:b w:val="0"/>
                <w:rtl w:val="0"/>
              </w:rPr>
              <w:t xml:space="preserve">Age</w:t>
            </w:r>
          </w:p>
        </w:tc>
        <w:tc>
          <w:tcPr/>
          <w:p w:rsidR="00000000" w:rsidDel="00000000" w:rsidP="00000000" w:rsidRDefault="00000000" w:rsidRPr="00000000" w14:paraId="00000005">
            <w:pPr>
              <w:numPr>
                <w:ilvl w:val="0"/>
                <w:numId w:val="1"/>
              </w:numPr>
              <w:spacing w:line="276" w:lineRule="auto"/>
              <w:ind w:left="285" w:hanging="260"/>
              <w:rPr>
                <w:b w:val="0"/>
              </w:rPr>
            </w:pPr>
            <w:r w:rsidDel="00000000" w:rsidR="00000000" w:rsidRPr="00000000">
              <w:rPr>
                <w:b w:val="0"/>
                <w:rtl w:val="0"/>
              </w:rPr>
              <w:t xml:space="preserve">Disability</w:t>
            </w:r>
          </w:p>
        </w:tc>
      </w:tr>
      <w:tr>
        <w:trPr>
          <w:cantSplit w:val="0"/>
          <w:tblHeader w:val="0"/>
        </w:trPr>
        <w:tc>
          <w:tcPr/>
          <w:p w:rsidR="00000000" w:rsidDel="00000000" w:rsidP="00000000" w:rsidRDefault="00000000" w:rsidRPr="00000000" w14:paraId="00000006">
            <w:pPr>
              <w:numPr>
                <w:ilvl w:val="0"/>
                <w:numId w:val="1"/>
              </w:numPr>
              <w:spacing w:line="276" w:lineRule="auto"/>
              <w:ind w:left="273" w:hanging="284"/>
              <w:rPr>
                <w:b w:val="0"/>
              </w:rPr>
            </w:pPr>
            <w:r w:rsidDel="00000000" w:rsidR="00000000" w:rsidRPr="00000000">
              <w:rPr>
                <w:b w:val="0"/>
                <w:rtl w:val="0"/>
              </w:rPr>
              <w:t xml:space="preserve">Gender reassignment</w:t>
            </w:r>
          </w:p>
        </w:tc>
        <w:tc>
          <w:tcPr/>
          <w:p w:rsidR="00000000" w:rsidDel="00000000" w:rsidP="00000000" w:rsidRDefault="00000000" w:rsidRPr="00000000" w14:paraId="00000007">
            <w:pPr>
              <w:numPr>
                <w:ilvl w:val="0"/>
                <w:numId w:val="1"/>
              </w:numPr>
              <w:spacing w:line="276" w:lineRule="auto"/>
              <w:ind w:left="285" w:hanging="260"/>
              <w:rPr>
                <w:b w:val="0"/>
              </w:rPr>
            </w:pPr>
            <w:r w:rsidDel="00000000" w:rsidR="00000000" w:rsidRPr="00000000">
              <w:rPr>
                <w:b w:val="0"/>
                <w:rtl w:val="0"/>
              </w:rPr>
              <w:t xml:space="preserve">Marriage and civil partnership</w:t>
            </w:r>
          </w:p>
        </w:tc>
      </w:tr>
      <w:tr>
        <w:trPr>
          <w:cantSplit w:val="0"/>
          <w:tblHeader w:val="0"/>
        </w:trPr>
        <w:tc>
          <w:tcPr/>
          <w:p w:rsidR="00000000" w:rsidDel="00000000" w:rsidP="00000000" w:rsidRDefault="00000000" w:rsidRPr="00000000" w14:paraId="00000008">
            <w:pPr>
              <w:numPr>
                <w:ilvl w:val="0"/>
                <w:numId w:val="1"/>
              </w:numPr>
              <w:spacing w:line="276" w:lineRule="auto"/>
              <w:ind w:left="273" w:hanging="284"/>
              <w:rPr>
                <w:b w:val="0"/>
              </w:rPr>
            </w:pPr>
            <w:r w:rsidDel="00000000" w:rsidR="00000000" w:rsidRPr="00000000">
              <w:rPr>
                <w:b w:val="0"/>
                <w:rtl w:val="0"/>
              </w:rPr>
              <w:t xml:space="preserve">Pregnancy and maternity</w:t>
            </w:r>
          </w:p>
        </w:tc>
        <w:tc>
          <w:tcPr/>
          <w:p w:rsidR="00000000" w:rsidDel="00000000" w:rsidP="00000000" w:rsidRDefault="00000000" w:rsidRPr="00000000" w14:paraId="00000009">
            <w:pPr>
              <w:numPr>
                <w:ilvl w:val="0"/>
                <w:numId w:val="1"/>
              </w:numPr>
              <w:spacing w:line="276" w:lineRule="auto"/>
              <w:ind w:left="285" w:hanging="260"/>
              <w:rPr>
                <w:b w:val="0"/>
              </w:rPr>
            </w:pPr>
            <w:r w:rsidDel="00000000" w:rsidR="00000000" w:rsidRPr="00000000">
              <w:rPr>
                <w:b w:val="0"/>
                <w:rtl w:val="0"/>
              </w:rPr>
              <w:t xml:space="preserve">Race</w:t>
            </w:r>
          </w:p>
        </w:tc>
      </w:tr>
      <w:tr>
        <w:trPr>
          <w:cantSplit w:val="0"/>
          <w:tblHeader w:val="0"/>
        </w:trPr>
        <w:tc>
          <w:tcPr/>
          <w:p w:rsidR="00000000" w:rsidDel="00000000" w:rsidP="00000000" w:rsidRDefault="00000000" w:rsidRPr="00000000" w14:paraId="0000000A">
            <w:pPr>
              <w:numPr>
                <w:ilvl w:val="0"/>
                <w:numId w:val="1"/>
              </w:numPr>
              <w:spacing w:line="276" w:lineRule="auto"/>
              <w:ind w:left="273" w:hanging="284"/>
              <w:rPr>
                <w:b w:val="0"/>
              </w:rPr>
            </w:pPr>
            <w:r w:rsidDel="00000000" w:rsidR="00000000" w:rsidRPr="00000000">
              <w:rPr>
                <w:b w:val="0"/>
                <w:rtl w:val="0"/>
              </w:rPr>
              <w:t xml:space="preserve">Religion or belief</w:t>
            </w:r>
          </w:p>
        </w:tc>
        <w:tc>
          <w:tcPr/>
          <w:p w:rsidR="00000000" w:rsidDel="00000000" w:rsidP="00000000" w:rsidRDefault="00000000" w:rsidRPr="00000000" w14:paraId="0000000B">
            <w:pPr>
              <w:numPr>
                <w:ilvl w:val="0"/>
                <w:numId w:val="1"/>
              </w:numPr>
              <w:spacing w:line="276" w:lineRule="auto"/>
              <w:ind w:left="285" w:hanging="260"/>
              <w:rPr>
                <w:b w:val="0"/>
              </w:rPr>
            </w:pPr>
            <w:r w:rsidDel="00000000" w:rsidR="00000000" w:rsidRPr="00000000">
              <w:rPr>
                <w:b w:val="0"/>
                <w:rtl w:val="0"/>
              </w:rPr>
              <w:t xml:space="preserve">Sex</w:t>
            </w:r>
          </w:p>
        </w:tc>
      </w:tr>
      <w:tr>
        <w:trPr>
          <w:cantSplit w:val="0"/>
          <w:tblHeader w:val="0"/>
        </w:trPr>
        <w:tc>
          <w:tcPr/>
          <w:p w:rsidR="00000000" w:rsidDel="00000000" w:rsidP="00000000" w:rsidRDefault="00000000" w:rsidRPr="00000000" w14:paraId="0000000C">
            <w:pPr>
              <w:numPr>
                <w:ilvl w:val="0"/>
                <w:numId w:val="1"/>
              </w:numPr>
              <w:spacing w:line="276" w:lineRule="auto"/>
              <w:ind w:left="273" w:hanging="284"/>
              <w:rPr>
                <w:b w:val="0"/>
              </w:rPr>
            </w:pPr>
            <w:r w:rsidDel="00000000" w:rsidR="00000000" w:rsidRPr="00000000">
              <w:rPr>
                <w:b w:val="0"/>
                <w:rtl w:val="0"/>
              </w:rPr>
              <w:t xml:space="preserve">Sexual orientation</w:t>
            </w:r>
          </w:p>
        </w:tc>
        <w:tc>
          <w:tcPr/>
          <w:p w:rsidR="00000000" w:rsidDel="00000000" w:rsidP="00000000" w:rsidRDefault="00000000" w:rsidRPr="00000000" w14:paraId="0000000D">
            <w:pPr>
              <w:spacing w:line="276" w:lineRule="auto"/>
              <w:ind w:left="720" w:firstLine="0"/>
              <w:rPr/>
            </w:pPr>
            <w:r w:rsidDel="00000000" w:rsidR="00000000" w:rsidRPr="00000000">
              <w:rPr>
                <w:rtl w:val="0"/>
              </w:rPr>
            </w:r>
          </w:p>
        </w:tc>
      </w:tr>
    </w:tbl>
    <w:p w:rsidR="00000000" w:rsidDel="00000000" w:rsidP="00000000" w:rsidRDefault="00000000" w:rsidRPr="00000000" w14:paraId="0000000E">
      <w:pPr>
        <w:spacing w:after="0" w:lineRule="auto"/>
        <w:rPr>
          <w:b w:val="0"/>
        </w:rPr>
      </w:pPr>
      <w:r w:rsidDel="00000000" w:rsidR="00000000" w:rsidRPr="00000000">
        <w:rPr>
          <w:rtl w:val="0"/>
        </w:rPr>
      </w:r>
    </w:p>
    <w:p w:rsidR="00000000" w:rsidDel="00000000" w:rsidP="00000000" w:rsidRDefault="00000000" w:rsidRPr="00000000" w14:paraId="0000000F">
      <w:pPr>
        <w:spacing w:after="240" w:lineRule="auto"/>
        <w:jc w:val="both"/>
        <w:rPr>
          <w:b w:val="0"/>
        </w:rPr>
      </w:pPr>
      <w:r w:rsidDel="00000000" w:rsidR="00000000" w:rsidRPr="00000000">
        <w:rPr>
          <w:b w:val="0"/>
          <w:rtl w:val="0"/>
        </w:rPr>
        <w:t xml:space="preserve">The Equality Act 2010 as it applies to volunteers is not straightforward. In 2011, a </w:t>
      </w:r>
      <w:hyperlink r:id="rId8">
        <w:r w:rsidDel="00000000" w:rsidR="00000000" w:rsidRPr="00000000">
          <w:rPr>
            <w:b w:val="0"/>
            <w:color w:val="7030a0"/>
            <w:rtl w:val="0"/>
          </w:rPr>
          <w:t xml:space="preserve">Court of Appeal decision</w:t>
        </w:r>
      </w:hyperlink>
      <w:r w:rsidDel="00000000" w:rsidR="00000000" w:rsidRPr="00000000">
        <w:rPr>
          <w:b w:val="0"/>
          <w:color w:val="7030a0"/>
          <w:rtl w:val="0"/>
        </w:rPr>
        <w:t xml:space="preserve"> </w:t>
      </w:r>
      <w:r w:rsidDel="00000000" w:rsidR="00000000" w:rsidRPr="00000000">
        <w:rPr>
          <w:b w:val="0"/>
          <w:rtl w:val="0"/>
        </w:rPr>
        <w:t xml:space="preserve">ruled that the Act did not protect volunteers in the same way as employees. From this however, it would be mistaken to conclude that volunteers are not legally protected from discrimination. The following two scenarios explain how the volunteers might be protected by the law:</w:t>
      </w:r>
    </w:p>
    <w:p w:rsidR="00000000" w:rsidDel="00000000" w:rsidP="00000000" w:rsidRDefault="00000000" w:rsidRPr="00000000" w14:paraId="00000010">
      <w:pPr>
        <w:numPr>
          <w:ilvl w:val="2"/>
          <w:numId w:val="2"/>
        </w:numPr>
        <w:spacing w:after="0" w:lineRule="auto"/>
        <w:ind w:left="426" w:hanging="426"/>
        <w:jc w:val="both"/>
        <w:rPr>
          <w:b w:val="0"/>
        </w:rPr>
      </w:pPr>
      <w:r w:rsidDel="00000000" w:rsidR="00000000" w:rsidRPr="00000000">
        <w:rPr>
          <w:b w:val="0"/>
          <w:rtl w:val="0"/>
        </w:rPr>
        <w:t xml:space="preserve">Individuals volunteering under conditions that fit the legal definition of an employment contract entitle them to protection under the Equality Act 2010, along with all of the other benefits and protections enjoyed by employees (see page 4-6 of this guide).  This situation leaves organisations vulnerable to legal claims by volunteers, and we therefore recommend that this scenario is avoided.</w:t>
      </w:r>
    </w:p>
    <w:p w:rsidR="00000000" w:rsidDel="00000000" w:rsidP="00000000" w:rsidRDefault="00000000" w:rsidRPr="00000000" w14:paraId="00000011">
      <w:pPr>
        <w:spacing w:after="0" w:lineRule="auto"/>
        <w:jc w:val="both"/>
        <w:rPr>
          <w:b w:val="0"/>
        </w:rPr>
      </w:pPr>
      <w:r w:rsidDel="00000000" w:rsidR="00000000" w:rsidRPr="00000000">
        <w:rPr>
          <w:rtl w:val="0"/>
        </w:rPr>
      </w:r>
    </w:p>
    <w:p w:rsidR="00000000" w:rsidDel="00000000" w:rsidP="00000000" w:rsidRDefault="00000000" w:rsidRPr="00000000" w14:paraId="00000012">
      <w:pPr>
        <w:numPr>
          <w:ilvl w:val="2"/>
          <w:numId w:val="2"/>
        </w:numPr>
        <w:spacing w:after="360" w:lineRule="auto"/>
        <w:ind w:left="425" w:hanging="425"/>
        <w:jc w:val="both"/>
        <w:rPr>
          <w:b w:val="0"/>
          <w:color w:val="000000"/>
        </w:rPr>
      </w:pPr>
      <w:r w:rsidDel="00000000" w:rsidR="00000000" w:rsidRPr="00000000">
        <w:rPr>
          <w:b w:val="0"/>
          <w:rtl w:val="0"/>
        </w:rPr>
        <w:t xml:space="preserve">Volunteers whose terms of engagement do not meet the description of an employment contract may still be covered by law however. Two considerations exist here: firstly, the </w:t>
      </w:r>
      <w:hyperlink r:id="rId9">
        <w:r w:rsidDel="00000000" w:rsidR="00000000" w:rsidRPr="00000000">
          <w:rPr>
            <w:b w:val="0"/>
            <w:color w:val="7030a0"/>
            <w:rtl w:val="0"/>
          </w:rPr>
          <w:t xml:space="preserve">‘charities exception’ rule in the Equality Act 2010</w:t>
        </w:r>
      </w:hyperlink>
      <w:r w:rsidDel="00000000" w:rsidR="00000000" w:rsidRPr="00000000">
        <w:rPr>
          <w:b w:val="0"/>
          <w:rtl w:val="0"/>
        </w:rPr>
        <w:t xml:space="preserve"> allows a charity to discriminate by limiting the group of people to which it provides its services. In spite of this, according to the </w:t>
      </w:r>
      <w:hyperlink r:id="rId10">
        <w:r w:rsidDel="00000000" w:rsidR="00000000" w:rsidRPr="00000000">
          <w:rPr>
            <w:b w:val="0"/>
            <w:color w:val="7030a0"/>
            <w:rtl w:val="0"/>
          </w:rPr>
          <w:t xml:space="preserve">Equality and Human Rights Commission</w:t>
        </w:r>
      </w:hyperlink>
      <w:r w:rsidDel="00000000" w:rsidR="00000000" w:rsidRPr="00000000">
        <w:rPr>
          <w:b w:val="0"/>
          <w:rtl w:val="0"/>
        </w:rPr>
        <w:t xml:space="preserve">, volunteers might be protected from discrimination if the </w:t>
      </w:r>
      <w:r w:rsidDel="00000000" w:rsidR="00000000" w:rsidRPr="00000000">
        <w:rPr>
          <w:b w:val="0"/>
          <w:rtl w:val="0"/>
        </w:rPr>
        <w:t xml:space="preserve">volunteering opportunity is considered to be a service provided by the organisation to the individual. This has not been tested in law however. Because of these complexities, we recommend that you treat volunteers in line with the Equality Act 2010. If you believe that you are entitled to discriminate against certain individuals interested in volunteering with your organisation, we recommend seeking legal advice.</w:t>
      </w:r>
    </w:p>
    <w:p w:rsidR="00000000" w:rsidDel="00000000" w:rsidP="00000000" w:rsidRDefault="00000000" w:rsidRPr="00000000" w14:paraId="00000013">
      <w:pPr>
        <w:keepNext w:val="1"/>
        <w:keepLines w:val="1"/>
        <w:spacing w:after="240" w:lineRule="auto"/>
        <w:rPr>
          <w:u w:val="single"/>
        </w:rPr>
      </w:pPr>
      <w:r w:rsidDel="00000000" w:rsidR="00000000" w:rsidRPr="00000000">
        <w:rPr>
          <w:u w:val="single"/>
          <w:rtl w:val="0"/>
        </w:rPr>
        <w:t xml:space="preserve">For more information</w:t>
      </w:r>
    </w:p>
    <w:p w:rsidR="00000000" w:rsidDel="00000000" w:rsidP="00000000" w:rsidRDefault="00000000" w:rsidRPr="00000000" w14:paraId="00000014">
      <w:pPr>
        <w:spacing w:after="60" w:lineRule="auto"/>
        <w:rPr>
          <w:b w:val="0"/>
        </w:rPr>
      </w:pPr>
      <w:r w:rsidDel="00000000" w:rsidR="00000000" w:rsidRPr="00000000">
        <w:rPr>
          <w:rtl w:val="0"/>
        </w:rPr>
        <w:t xml:space="preserve">GOV.UK Government website</w:t>
      </w:r>
      <w:sdt>
        <w:sdtPr>
          <w:tag w:val="goog_rdk_0"/>
        </w:sdtPr>
        <w:sdtContent>
          <w:r w:rsidDel="00000000" w:rsidR="00000000" w:rsidRPr="00000000">
            <w:rPr>
              <w:rFonts w:ascii="Fira Mono" w:cs="Fira Mono" w:eastAsia="Fira Mono" w:hAnsi="Fira Mono"/>
              <w:b w:val="0"/>
              <w:sz w:val="20"/>
              <w:szCs w:val="20"/>
              <w:rtl w:val="0"/>
            </w:rPr>
            <w:t xml:space="preserve">   ⬥   </w:t>
          </w:r>
        </w:sdtContent>
      </w:sdt>
      <w:r w:rsidDel="00000000" w:rsidR="00000000" w:rsidRPr="00000000">
        <w:rPr>
          <w:b w:val="0"/>
          <w:rtl w:val="0"/>
        </w:rPr>
        <w:t xml:space="preserve">www.gov.uk</w:t>
      </w:r>
    </w:p>
    <w:p w:rsidR="00000000" w:rsidDel="00000000" w:rsidP="00000000" w:rsidRDefault="00000000" w:rsidRPr="00000000" w14:paraId="00000015">
      <w:pPr>
        <w:numPr>
          <w:ilvl w:val="0"/>
          <w:numId w:val="3"/>
        </w:numPr>
        <w:spacing w:after="0" w:lineRule="auto"/>
        <w:ind w:left="284" w:hanging="284"/>
        <w:rPr>
          <w:b w:val="0"/>
        </w:rPr>
      </w:pPr>
      <w:hyperlink r:id="rId11">
        <w:r w:rsidDel="00000000" w:rsidR="00000000" w:rsidRPr="00000000">
          <w:rPr>
            <w:b w:val="0"/>
            <w:color w:val="7030a0"/>
            <w:rtl w:val="0"/>
          </w:rPr>
          <w:t xml:space="preserve">Equality Act Guidance for Charitie</w:t>
        </w:r>
      </w:hyperlink>
      <w:r w:rsidDel="00000000" w:rsidR="00000000" w:rsidRPr="00000000">
        <w:rPr>
          <w:b w:val="0"/>
          <w:rtl w:val="0"/>
        </w:rPr>
        <w:t xml:space="preserve">s</w:t>
      </w:r>
      <w:r w:rsidDel="00000000" w:rsidR="00000000" w:rsidRPr="00000000">
        <w:rPr>
          <w:rtl w:val="0"/>
        </w:rPr>
      </w:r>
    </w:p>
    <w:p w:rsidR="00000000" w:rsidDel="00000000" w:rsidP="00000000" w:rsidRDefault="00000000" w:rsidRPr="00000000" w14:paraId="00000016">
      <w:pPr>
        <w:numPr>
          <w:ilvl w:val="0"/>
          <w:numId w:val="3"/>
        </w:numPr>
        <w:spacing w:after="0" w:lineRule="auto"/>
        <w:ind w:left="284" w:hanging="284"/>
        <w:rPr>
          <w:b w:val="0"/>
        </w:rPr>
      </w:pPr>
      <w:hyperlink r:id="rId12">
        <w:r w:rsidDel="00000000" w:rsidR="00000000" w:rsidRPr="00000000">
          <w:rPr>
            <w:b w:val="0"/>
            <w:color w:val="7030a0"/>
            <w:rtl w:val="0"/>
          </w:rPr>
          <w:t xml:space="preserve">Volunteers’ Rights</w:t>
        </w:r>
      </w:hyperlink>
      <w:r w:rsidDel="00000000" w:rsidR="00000000" w:rsidRPr="00000000">
        <w:rPr>
          <w:rtl w:val="0"/>
        </w:rPr>
      </w:r>
    </w:p>
    <w:p w:rsidR="00000000" w:rsidDel="00000000" w:rsidP="00000000" w:rsidRDefault="00000000" w:rsidRPr="00000000" w14:paraId="00000017">
      <w:pPr>
        <w:spacing w:after="0" w:lineRule="auto"/>
        <w:ind w:left="284" w:firstLine="0"/>
        <w:rPr>
          <w:b w:val="0"/>
          <w:color w:val="7030a0"/>
        </w:rPr>
      </w:pPr>
      <w:r w:rsidDel="00000000" w:rsidR="00000000" w:rsidRPr="00000000">
        <w:rPr>
          <w:rtl w:val="0"/>
        </w:rPr>
      </w:r>
    </w:p>
    <w:p w:rsidR="00000000" w:rsidDel="00000000" w:rsidP="00000000" w:rsidRDefault="00000000" w:rsidRPr="00000000" w14:paraId="00000018">
      <w:pPr>
        <w:spacing w:after="0" w:lineRule="auto"/>
        <w:rPr>
          <w:b w:val="0"/>
          <w:color w:val="000000"/>
        </w:rPr>
      </w:pPr>
      <w:r w:rsidDel="00000000" w:rsidR="00000000" w:rsidRPr="00000000">
        <w:rPr>
          <w:color w:val="000000"/>
          <w:rtl w:val="0"/>
        </w:rPr>
        <w:t xml:space="preserve">NCVO Knowhow Nonprofit</w:t>
      </w:r>
      <w:sdt>
        <w:sdtPr>
          <w:tag w:val="goog_rdk_1"/>
        </w:sdtPr>
        <w:sdtContent>
          <w:r w:rsidDel="00000000" w:rsidR="00000000" w:rsidRPr="00000000">
            <w:rPr>
              <w:rFonts w:ascii="Fira Mono" w:cs="Fira Mono" w:eastAsia="Fira Mono" w:hAnsi="Fira Mono"/>
              <w:b w:val="0"/>
              <w:sz w:val="20"/>
              <w:szCs w:val="20"/>
              <w:rtl w:val="0"/>
            </w:rPr>
            <w:t xml:space="preserve">   ⬥   </w:t>
          </w:r>
        </w:sdtContent>
      </w:sdt>
      <w:r w:rsidDel="00000000" w:rsidR="00000000" w:rsidRPr="00000000">
        <w:rPr>
          <w:b w:val="0"/>
          <w:color w:val="000000"/>
          <w:rtl w:val="0"/>
        </w:rPr>
        <w:t xml:space="preserve">www.knowhownonprofit.org</w:t>
      </w:r>
    </w:p>
    <w:p w:rsidR="00000000" w:rsidDel="00000000" w:rsidP="00000000" w:rsidRDefault="00000000" w:rsidRPr="00000000" w14:paraId="00000019">
      <w:pPr>
        <w:spacing w:after="60" w:lineRule="auto"/>
        <w:rPr>
          <w:b w:val="0"/>
        </w:rPr>
      </w:pPr>
      <w:r w:rsidDel="00000000" w:rsidR="00000000" w:rsidRPr="00000000">
        <w:rPr>
          <w:b w:val="0"/>
          <w:rtl w:val="0"/>
        </w:rPr>
        <w:t xml:space="preserve">Knowledge and e-learning for charities, social enterprises and community groups. Learn from experts and peers, and share your experiences.</w:t>
      </w:r>
    </w:p>
    <w:p w:rsidR="00000000" w:rsidDel="00000000" w:rsidP="00000000" w:rsidRDefault="00000000" w:rsidRPr="00000000" w14:paraId="0000001A">
      <w:pPr>
        <w:numPr>
          <w:ilvl w:val="0"/>
          <w:numId w:val="3"/>
        </w:numPr>
        <w:spacing w:after="0" w:lineRule="auto"/>
        <w:ind w:left="284" w:hanging="284"/>
        <w:rPr>
          <w:b w:val="0"/>
        </w:rPr>
      </w:pPr>
      <w:hyperlink r:id="rId13">
        <w:r w:rsidDel="00000000" w:rsidR="00000000" w:rsidRPr="00000000">
          <w:rPr>
            <w:b w:val="0"/>
            <w:color w:val="7030a0"/>
            <w:rtl w:val="0"/>
          </w:rPr>
          <w:t xml:space="preserve">Does the Equality Act apply to volunteers?</w:t>
        </w:r>
      </w:hyperlink>
      <w:r w:rsidDel="00000000" w:rsidR="00000000" w:rsidRPr="00000000">
        <w:rPr>
          <w:rtl w:val="0"/>
        </w:rPr>
      </w:r>
    </w:p>
    <w:p w:rsidR="00000000" w:rsidDel="00000000" w:rsidP="00000000" w:rsidRDefault="00000000" w:rsidRPr="00000000" w14:paraId="0000001B">
      <w:pPr>
        <w:spacing w:after="0" w:lineRule="auto"/>
        <w:rPr>
          <w:b w:val="0"/>
        </w:rPr>
      </w:pPr>
      <w:r w:rsidDel="00000000" w:rsidR="00000000" w:rsidRPr="00000000">
        <w:rPr>
          <w:rtl w:val="0"/>
        </w:rPr>
      </w:r>
    </w:p>
    <w:p w:rsidR="00000000" w:rsidDel="00000000" w:rsidP="00000000" w:rsidRDefault="00000000" w:rsidRPr="00000000" w14:paraId="0000001C">
      <w:pPr>
        <w:spacing w:after="60" w:lineRule="auto"/>
        <w:rPr>
          <w:b w:val="0"/>
        </w:rPr>
      </w:pPr>
      <w:r w:rsidDel="00000000" w:rsidR="00000000" w:rsidRPr="00000000">
        <w:rPr>
          <w:rtl w:val="0"/>
        </w:rPr>
        <w:t xml:space="preserve">Equality and Human Rights Commission</w:t>
      </w:r>
      <w:sdt>
        <w:sdtPr>
          <w:tag w:val="goog_rdk_2"/>
        </w:sdtPr>
        <w:sdtContent>
          <w:r w:rsidDel="00000000" w:rsidR="00000000" w:rsidRPr="00000000">
            <w:rPr>
              <w:rFonts w:ascii="Fira Mono" w:cs="Fira Mono" w:eastAsia="Fira Mono" w:hAnsi="Fira Mono"/>
              <w:b w:val="0"/>
              <w:sz w:val="20"/>
              <w:szCs w:val="20"/>
              <w:rtl w:val="0"/>
            </w:rPr>
            <w:t xml:space="preserve">   ⬥   </w:t>
          </w:r>
        </w:sdtContent>
      </w:sdt>
      <w:r w:rsidDel="00000000" w:rsidR="00000000" w:rsidRPr="00000000">
        <w:rPr>
          <w:b w:val="0"/>
          <w:rtl w:val="0"/>
        </w:rPr>
        <w:t xml:space="preserve">www.equalityhumanrights.com</w:t>
      </w:r>
    </w:p>
    <w:p w:rsidR="00000000" w:rsidDel="00000000" w:rsidP="00000000" w:rsidRDefault="00000000" w:rsidRPr="00000000" w14:paraId="0000001D">
      <w:pPr>
        <w:numPr>
          <w:ilvl w:val="0"/>
          <w:numId w:val="3"/>
        </w:numPr>
        <w:spacing w:after="60" w:lineRule="auto"/>
        <w:ind w:left="284" w:hanging="284"/>
        <w:rPr>
          <w:b w:val="0"/>
          <w:color w:val="7030a0"/>
        </w:rPr>
      </w:pPr>
      <w:hyperlink r:id="rId14">
        <w:r w:rsidDel="00000000" w:rsidR="00000000" w:rsidRPr="00000000">
          <w:rPr>
            <w:b w:val="0"/>
            <w:color w:val="7030a0"/>
            <w:rtl w:val="0"/>
          </w:rPr>
          <w:t xml:space="preserve">How your organisation should treat volunteers</w:t>
        </w:r>
      </w:hyperlink>
      <w:r w:rsidDel="00000000" w:rsidR="00000000" w:rsidRPr="00000000">
        <w:rPr>
          <w:rtl w:val="0"/>
        </w:rPr>
      </w:r>
    </w:p>
    <w:p w:rsidR="00000000" w:rsidDel="00000000" w:rsidP="00000000" w:rsidRDefault="00000000" w:rsidRPr="00000000" w14:paraId="0000001E">
      <w:pPr>
        <w:spacing w:after="0" w:lineRule="auto"/>
        <w:ind w:firstLine="284"/>
        <w:rPr>
          <w:b w:val="0"/>
          <w:color w:val="7030a0"/>
          <w:u w:val="none"/>
        </w:rPr>
      </w:pPr>
      <w:r w:rsidDel="00000000" w:rsidR="00000000" w:rsidRPr="00000000">
        <w:rPr>
          <w:b w:val="0"/>
          <w:rtl w:val="0"/>
        </w:rPr>
        <w:t xml:space="preserve">Advice line: 0808 800 0082</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20"/>
          <w:szCs w:val="20"/>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20"/>
          <w:szCs w:val="20"/>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20"/>
          <w:szCs w:val="20"/>
        </w:rPr>
      </w:pPr>
      <w:r w:rsidDel="00000000" w:rsidR="00000000" w:rsidRPr="00000000">
        <w:rPr>
          <w:rtl w:val="0"/>
        </w:rPr>
      </w:r>
    </w:p>
    <w:p w:rsidR="00000000" w:rsidDel="00000000" w:rsidP="00000000" w:rsidRDefault="00000000" w:rsidRPr="00000000" w14:paraId="00000022">
      <w:pPr>
        <w:keepNext w:val="1"/>
        <w:keepLines w:val="1"/>
        <w:spacing w:after="0" w:lineRule="auto"/>
        <w:rPr>
          <w:sz w:val="20"/>
          <w:szCs w:val="20"/>
        </w:rPr>
      </w:pPr>
      <w:r w:rsidDel="00000000" w:rsidR="00000000" w:rsidRPr="00000000">
        <w:rPr>
          <w:sz w:val="20"/>
          <w:szCs w:val="20"/>
          <w:rtl w:val="0"/>
        </w:rPr>
        <w:t xml:space="preserve">DISCLAIMER</w:t>
      </w:r>
    </w:p>
    <w:p w:rsidR="00000000" w:rsidDel="00000000" w:rsidP="00000000" w:rsidRDefault="00000000" w:rsidRPr="00000000" w14:paraId="00000023">
      <w:pPr>
        <w:spacing w:after="0" w:lineRule="auto"/>
        <w:rPr>
          <w:b w:val="0"/>
          <w:sz w:val="20"/>
          <w:szCs w:val="20"/>
        </w:rPr>
      </w:pPr>
      <w:r w:rsidDel="00000000" w:rsidR="00000000" w:rsidRPr="00000000">
        <w:rPr>
          <w:b w:val="0"/>
          <w:sz w:val="20"/>
          <w:szCs w:val="20"/>
          <w:rtl w:val="0"/>
        </w:rPr>
        <w:t xml:space="preserve">Although every effort has been made to verify the accuracy of materials in CAVA's resource</w:t>
      </w:r>
    </w:p>
    <w:p w:rsidR="00000000" w:rsidDel="00000000" w:rsidP="00000000" w:rsidRDefault="00000000" w:rsidRPr="00000000" w14:paraId="00000024">
      <w:pPr>
        <w:spacing w:after="0" w:lineRule="auto"/>
        <w:rPr>
          <w:vertAlign w:val="baseline"/>
        </w:rPr>
      </w:pPr>
      <w:r w:rsidDel="00000000" w:rsidR="00000000" w:rsidRPr="00000000">
        <w:rPr>
          <w:b w:val="0"/>
          <w:sz w:val="20"/>
          <w:szCs w:val="20"/>
          <w:rtl w:val="0"/>
        </w:rPr>
        <w:t xml:space="preserve">library, users are advised to check independently on matters of specific interest.</w:t>
      </w:r>
      <w:r w:rsidDel="00000000" w:rsidR="00000000" w:rsidRPr="00000000">
        <w:rPr>
          <w:rtl w:val="0"/>
        </w:rPr>
      </w:r>
    </w:p>
    <w:p w:rsidR="00000000" w:rsidDel="00000000" w:rsidP="00000000" w:rsidRDefault="00000000" w:rsidRPr="00000000" w14:paraId="00000025">
      <w:pPr>
        <w:spacing w:after="0" w:lineRule="auto"/>
        <w:rPr>
          <w:b w:val="0"/>
        </w:rPr>
      </w:pPr>
      <w:r w:rsidDel="00000000" w:rsidR="00000000" w:rsidRPr="00000000">
        <w:rPr>
          <w:rtl w:val="0"/>
        </w:rPr>
      </w:r>
    </w:p>
    <w:sectPr>
      <w:headerReference r:id="rId15" w:type="default"/>
      <w:headerReference r:id="rId16" w:type="first"/>
      <w:footerReference r:id="rId17" w:type="default"/>
      <w:footerReference r:id="rId18" w:type="first"/>
      <w:pgSz w:h="16840" w:w="11900" w:orient="portrait"/>
      <w:pgMar w:bottom="1843" w:top="1440" w:left="1440" w:right="1440" w:header="720" w:footer="168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Calibri"/>
  <w:font w:name="Courier New"/>
  <w:font w:name="Fira Mono">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3938588" cy="1020631"/>
          <wp:effectExtent b="0" l="0" r="0" t="0"/>
          <wp:wrapSquare wrapText="bothSides" distB="114300" distT="114300" distL="114300" distR="114300"/>
          <wp:docPr id="312"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3938588" cy="1020631"/>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1956"/>
      </w:tabs>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12701</wp:posOffset>
              </wp:positionH>
              <wp:positionV relativeFrom="paragraph">
                <wp:posOffset>76200</wp:posOffset>
              </wp:positionV>
              <wp:extent cx="5854699" cy="828774"/>
              <wp:effectExtent b="0" l="0" r="0" t="0"/>
              <wp:wrapNone/>
              <wp:docPr id="310" name=""/>
              <a:graphic>
                <a:graphicData uri="http://schemas.microsoft.com/office/word/2010/wordprocessingGroup">
                  <wpg:wgp>
                    <wpg:cNvGrpSpPr/>
                    <wpg:grpSpPr>
                      <a:xfrm>
                        <a:off x="2418650" y="3365425"/>
                        <a:ext cx="5854699" cy="828774"/>
                        <a:chOff x="2418650" y="3365425"/>
                        <a:chExt cx="5854700" cy="854775"/>
                      </a:xfrm>
                    </wpg:grpSpPr>
                    <wpg:grpSp>
                      <wpg:cNvGrpSpPr/>
                      <wpg:grpSpPr>
                        <a:xfrm>
                          <a:off x="2418651" y="3365613"/>
                          <a:ext cx="5854699" cy="828774"/>
                          <a:chOff x="2418650" y="3360850"/>
                          <a:chExt cx="5854700" cy="860850"/>
                        </a:xfrm>
                      </wpg:grpSpPr>
                      <wps:wsp>
                        <wps:cNvSpPr/>
                        <wps:cNvPr id="3" name="Shape 3"/>
                        <wps:spPr>
                          <a:xfrm>
                            <a:off x="2418650" y="3360850"/>
                            <a:ext cx="5854700" cy="8608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418651" y="3365613"/>
                            <a:ext cx="5854699" cy="828774"/>
                            <a:chOff x="-1" y="0"/>
                            <a:chExt cx="5855169" cy="828939"/>
                          </a:xfrm>
                        </wpg:grpSpPr>
                        <wps:wsp>
                          <wps:cNvSpPr/>
                          <wps:cNvPr id="5" name="Shape 5"/>
                          <wps:spPr>
                            <a:xfrm>
                              <a:off x="-1" y="0"/>
                              <a:ext cx="5855150" cy="8289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1" y="163327"/>
                              <a:ext cx="5855169" cy="665612"/>
                            </a:xfrm>
                            <a:prstGeom prst="rect">
                              <a:avLst/>
                            </a:prstGeom>
                            <a:solidFill>
                              <a:srgbClr val="FFFFFF"/>
                            </a:solidFill>
                            <a:ln>
                              <a:noFill/>
                            </a:ln>
                          </wps:spPr>
                          <wps:txbx>
                            <w:txbxContent>
                              <w:p w:rsidR="00000000" w:rsidDel="00000000" w:rsidP="00000000" w:rsidRDefault="00000000" w:rsidRPr="00000000">
                                <w:pPr>
                                  <w:spacing w:after="12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CAVA’s Volunteering Resource Library   </w:t>
                                </w:r>
                              </w:p>
                              <w:p w:rsidR="00000000" w:rsidDel="00000000" w:rsidP="00000000" w:rsidRDefault="00000000" w:rsidRPr="00000000">
                                <w:pPr>
                                  <w:spacing w:after="12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Volunteering and the Law      Fact sheet 2b. The Discrimination and Equality Act 2010</w:t>
                                </w:r>
                              </w:p>
                              <w:p w:rsidR="00000000" w:rsidDel="00000000" w:rsidP="00000000" w:rsidRDefault="00000000" w:rsidRPr="00000000">
                                <w:pPr>
                                  <w:spacing w:after="0" w:before="0" w:line="240"/>
                                  <w:ind w:left="0" w:right="-22.999999523162842"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7030a0"/>
                                    <w:sz w:val="20"/>
                                    <w:vertAlign w:val="baseline"/>
                                  </w:rPr>
                                  <w:t xml:space="preserve">www.wcava.org.uk/resource-library/volunteering-and-law</w:t>
                                </w:r>
                                <w:r w:rsidDel="00000000" w:rsidR="00000000" w:rsidRPr="00000000">
                                  <w:rPr>
                                    <w:rFonts w:ascii="Arial" w:cs="Arial" w:eastAsia="Arial" w:hAnsi="Arial"/>
                                    <w:b w:val="0"/>
                                    <w:i w:val="0"/>
                                    <w:smallCaps w:val="0"/>
                                    <w:strike w:val="0"/>
                                    <w:color w:val="7030a0"/>
                                    <w:sz w:val="28"/>
                                    <w:vertAlign w:val="baseline"/>
                                  </w:rPr>
                                  <w:t xml:space="preserve">	</w:t>
                                </w:r>
                              </w:p>
                            </w:txbxContent>
                          </wps:txbx>
                          <wps:bodyPr anchorCtr="0" anchor="t" bIns="0" lIns="0" spcFirstLastPara="1" rIns="0" wrap="square" tIns="0">
                            <a:noAutofit/>
                          </wps:bodyPr>
                        </wps:wsp>
                        <wps:wsp>
                          <wps:cNvCnPr/>
                          <wps:spPr>
                            <a:xfrm>
                              <a:off x="0" y="0"/>
                              <a:ext cx="5744221" cy="0"/>
                            </a:xfrm>
                            <a:prstGeom prst="straightConnector1">
                              <a:avLst/>
                            </a:prstGeom>
                            <a:noFill/>
                            <a:ln cap="flat" cmpd="sng" w="9525">
                              <a:solidFill>
                                <a:srgbClr val="7F7F7F"/>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76200</wp:posOffset>
              </wp:positionV>
              <wp:extent cx="5854699" cy="828774"/>
              <wp:effectExtent b="0" l="0" r="0" t="0"/>
              <wp:wrapNone/>
              <wp:docPr id="310"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5854699" cy="828774"/>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keepNext w:val="1"/>
      <w:keepLines w:val="1"/>
      <w:jc w:val="right"/>
      <w:rPr>
        <w:sz w:val="2"/>
        <w:szCs w:val="2"/>
      </w:rPr>
    </w:pPr>
    <w:r w:rsidDel="00000000" w:rsidR="00000000" w:rsidRPr="00000000">
      <w:rPr>
        <w:i w:val="1"/>
      </w:rPr>
      <w:drawing>
        <wp:anchor allowOverlap="1" behindDoc="0" distB="0" distT="0" distL="114300" distR="114300" hidden="0" layoutInCell="1" locked="0" relativeHeight="0" simplePos="0">
          <wp:simplePos x="0" y="0"/>
          <wp:positionH relativeFrom="margin">
            <wp:posOffset>-30922</wp:posOffset>
          </wp:positionH>
          <wp:positionV relativeFrom="page">
            <wp:posOffset>518160</wp:posOffset>
          </wp:positionV>
          <wp:extent cx="1817370" cy="859790"/>
          <wp:effectExtent b="0" l="0" r="0" t="0"/>
          <wp:wrapSquare wrapText="bothSides" distB="0" distT="0" distL="114300" distR="114300"/>
          <wp:docPr id="313" name="image4.jpg"/>
          <a:graphic>
            <a:graphicData uri="http://schemas.openxmlformats.org/drawingml/2006/picture">
              <pic:pic>
                <pic:nvPicPr>
                  <pic:cNvPr id="0" name="image4.jpg"/>
                  <pic:cNvPicPr preferRelativeResize="0"/>
                </pic:nvPicPr>
                <pic:blipFill>
                  <a:blip r:embed="rId1"/>
                  <a:srcRect b="2031" l="0" r="0" t="2031"/>
                  <a:stretch>
                    <a:fillRect/>
                  </a:stretch>
                </pic:blipFill>
                <pic:spPr>
                  <a:xfrm>
                    <a:off x="0" y="0"/>
                    <a:ext cx="1817370" cy="859790"/>
                  </a:xfrm>
                  <a:prstGeom prst="rect"/>
                  <a:ln/>
                </pic:spPr>
              </pic:pic>
            </a:graphicData>
          </a:graphic>
        </wp:anchor>
      </w:drawing>
    </w:r>
    <w:r w:rsidDel="00000000" w:rsidR="00000000" w:rsidRPr="00000000">
      <w:rPr>
        <w:rtl w:val="0"/>
      </w:rPr>
    </w:r>
  </w:p>
  <w:p w:rsidR="00000000" w:rsidDel="00000000" w:rsidP="00000000" w:rsidRDefault="00000000" w:rsidRPr="00000000" w14:paraId="00000027">
    <w:pPr>
      <w:pStyle w:val="Heading1"/>
      <w:tabs>
        <w:tab w:val="left" w:leader="none" w:pos="2977"/>
        <w:tab w:val="left" w:leader="none" w:pos="3402"/>
        <w:tab w:val="left" w:leader="none" w:pos="2977"/>
        <w:tab w:val="left" w:leader="none" w:pos="3402"/>
      </w:tabs>
      <w:spacing w:after="320" w:before="120" w:lineRule="auto"/>
      <w:ind w:left="0" w:right="-23" w:firstLine="0"/>
      <w:rPr>
        <w:color w:val="000000"/>
        <w:u w:val="none"/>
      </w:rPr>
    </w:pPr>
    <w:r w:rsidDel="00000000" w:rsidR="00000000" w:rsidRPr="00000000">
      <w:rPr>
        <w:rtl w:val="0"/>
      </w:rPr>
      <w:t xml:space="preserve">Volunteering and the Law</w:t>
    </w:r>
    <w:r w:rsidDel="00000000" w:rsidR="00000000" w:rsidRPr="00000000">
      <w:rPr>
        <w:rtl w:val="0"/>
      </w:rPr>
    </w:r>
  </w:p>
  <w:p w:rsidR="00000000" w:rsidDel="00000000" w:rsidP="00000000" w:rsidRDefault="00000000" w:rsidRPr="00000000" w14:paraId="00000028">
    <w:pPr>
      <w:tabs>
        <w:tab w:val="left" w:leader="none" w:pos="1950"/>
      </w:tabs>
      <w:spacing w:after="60" w:lineRule="auto"/>
      <w:jc w:val="right"/>
      <w:rPr>
        <w:b w:val="0"/>
        <w:sz w:val="20"/>
        <w:szCs w:val="20"/>
      </w:rPr>
    </w:pPr>
    <w:r w:rsidDel="00000000" w:rsidR="00000000" w:rsidRPr="00000000">
      <w:rPr>
        <w:b w:val="0"/>
        <w:sz w:val="20"/>
        <w:szCs w:val="20"/>
        <w:rtl w:val="0"/>
      </w:rPr>
      <w:t xml:space="preserve">A fact sheet series in CAVA’s Volunteering Resource Library </w:t>
    </w:r>
  </w:p>
  <w:p w:rsidR="00000000" w:rsidDel="00000000" w:rsidP="00000000" w:rsidRDefault="00000000" w:rsidRPr="00000000" w14:paraId="00000029">
    <w:pPr>
      <w:tabs>
        <w:tab w:val="left" w:leader="none" w:pos="1950"/>
      </w:tabs>
      <w:spacing w:after="360" w:lineRule="auto"/>
      <w:jc w:val="right"/>
      <w:rPr>
        <w:color w:val="000000"/>
      </w:rPr>
    </w:pPr>
    <w:hyperlink r:id="rId2">
      <w:r w:rsidDel="00000000" w:rsidR="00000000" w:rsidRPr="00000000">
        <w:rPr>
          <w:b w:val="0"/>
          <w:color w:val="7030a0"/>
          <w:sz w:val="20"/>
          <w:szCs w:val="20"/>
          <w:u w:val="none"/>
          <w:rtl w:val="0"/>
        </w:rPr>
        <w:t xml:space="preserve">www.wcava.org.uk/resource-library</w:t>
      </w:r>
    </w:hyperlink>
    <w:r w:rsidDel="00000000" w:rsidR="00000000" w:rsidRPr="00000000">
      <w:rPr>
        <w:b w:val="0"/>
        <w:color w:val="7030a0"/>
        <w:sz w:val="20"/>
        <w:szCs w:val="20"/>
        <w:u w:val="none"/>
        <w:rtl w:val="0"/>
      </w:rPr>
      <w:t xml:space="preserve">/volunteering-and-law </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1536700</wp:posOffset>
              </wp:positionV>
              <wp:extent cx="0" cy="12700"/>
              <wp:effectExtent b="0" l="0" r="0" t="0"/>
              <wp:wrapSquare wrapText="bothSides" distB="0" distT="0" distL="114300" distR="114300"/>
              <wp:docPr id="311" name=""/>
              <a:graphic>
                <a:graphicData uri="http://schemas.microsoft.com/office/word/2010/wordprocessingShape">
                  <wps:wsp>
                    <wps:cNvCnPr/>
                    <wps:spPr>
                      <a:xfrm>
                        <a:off x="2478340" y="3780000"/>
                        <a:ext cx="5735320" cy="0"/>
                      </a:xfrm>
                      <a:prstGeom prst="straightConnector1">
                        <a:avLst/>
                      </a:prstGeom>
                      <a:noFill/>
                      <a:ln cap="flat" cmpd="sng" w="9525">
                        <a:solidFill>
                          <a:srgbClr val="7F7F7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1536700</wp:posOffset>
              </wp:positionV>
              <wp:extent cx="0" cy="12700"/>
              <wp:effectExtent b="0" l="0" r="0" t="0"/>
              <wp:wrapSquare wrapText="bothSides" distB="0" distT="0" distL="114300" distR="114300"/>
              <wp:docPr id="311" name="image2.png"/>
              <a:graphic>
                <a:graphicData uri="http://schemas.openxmlformats.org/drawingml/2006/picture">
                  <pic:pic>
                    <pic:nvPicPr>
                      <pic:cNvPr id="0" name="image2.png"/>
                      <pic:cNvPicPr preferRelativeResize="0"/>
                    </pic:nvPicPr>
                    <pic:blipFill>
                      <a:blip r:embed="rId3"/>
                      <a:srcRect/>
                      <a:stretch>
                        <a:fillRect/>
                      </a:stretch>
                    </pic:blipFill>
                    <pic:spPr>
                      <a:xfrm>
                        <a:off x="0" y="0"/>
                        <a:ext cx="0" cy="12700"/>
                      </a:xfrm>
                      <a:prstGeom prst="rect"/>
                      <a:ln/>
                    </pic:spPr>
                  </pic:pic>
                </a:graphicData>
              </a:graphic>
            </wp:anchor>
          </w:drawing>
        </mc:Fallback>
      </mc:AlternateConten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4"/>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decimal"/>
      <w:lvlText w:val="%3)"/>
      <w:lvlJc w:val="lef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color w:val="7030a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b w:val="1"/>
        <w:sz w:val="24"/>
        <w:szCs w:val="24"/>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tabs>
        <w:tab w:val="left" w:leader="none" w:pos="2977"/>
        <w:tab w:val="left" w:leader="none" w:pos="3402"/>
      </w:tabs>
      <w:ind w:left="720" w:right="119"/>
      <w:jc w:val="right"/>
    </w:pPr>
    <w:rPr>
      <w:sz w:val="28"/>
      <w:szCs w:val="28"/>
    </w:rPr>
  </w:style>
  <w:style w:type="paragraph" w:styleId="Heading2">
    <w:name w:val="heading 2"/>
    <w:basedOn w:val="Normal"/>
    <w:next w:val="Normal"/>
    <w:pPr>
      <w:keepNext w:val="1"/>
      <w:keepLines w:val="1"/>
      <w:spacing w:after="0" w:before="200" w:lineRule="auto"/>
    </w:pPr>
    <w:rPr>
      <w:highlight w:val="whit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0"/>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240" w:line="240" w:lineRule="auto"/>
      <w:jc w:val="center"/>
    </w:pPr>
    <w:rPr>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tabs>
        <w:tab w:val="left" w:pos="2977"/>
        <w:tab w:val="left" w:pos="3402"/>
      </w:tabs>
      <w:ind w:left="720" w:right="119"/>
      <w:jc w:val="right"/>
    </w:pPr>
    <w:rPr>
      <w:sz w:val="28"/>
      <w:szCs w:val="28"/>
    </w:rPr>
  </w:style>
  <w:style w:type="paragraph" w:styleId="Heading2">
    <w:name w:val="heading 2"/>
    <w:basedOn w:val="Normal"/>
    <w:next w:val="Normal"/>
    <w:pPr>
      <w:keepNext w:val="1"/>
      <w:keepLines w:val="1"/>
      <w:spacing w:after="0" w:before="200" w:lineRule="auto"/>
    </w:pPr>
    <w:rPr>
      <w:highlight w:val="whit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0"/>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240" w:line="240" w:lineRule="auto"/>
      <w:jc w:val="center"/>
    </w:pPr>
    <w:rPr>
      <w:sz w:val="28"/>
      <w:szCs w:val="28"/>
    </w:rPr>
  </w:style>
  <w:style w:type="paragraph" w:styleId="Normal" w:default="1">
    <w:name w:val="Normal"/>
    <w:aliases w:val="Subheading"/>
    <w:qFormat w:val="1"/>
    <w:rsid w:val="008573D5"/>
    <w:rPr>
      <w:rFonts w:ascii="Arial" w:hAnsi="Arial"/>
      <w:b w:val="1"/>
      <w:sz w:val="24"/>
    </w:rPr>
  </w:style>
  <w:style w:type="paragraph" w:styleId="Heading1">
    <w:name w:val="heading 1"/>
    <w:basedOn w:val="Normal"/>
    <w:next w:val="Normal"/>
    <w:link w:val="Heading1Char"/>
    <w:uiPriority w:val="9"/>
    <w:qFormat w:val="1"/>
    <w:rsid w:val="00F73489"/>
    <w:pPr>
      <w:tabs>
        <w:tab w:val="left" w:pos="2977"/>
        <w:tab w:val="left" w:pos="3402"/>
      </w:tabs>
      <w:ind w:left="720" w:right="119"/>
      <w:jc w:val="right"/>
      <w:outlineLvl w:val="0"/>
    </w:pPr>
    <w:rPr>
      <w:sz w:val="28"/>
      <w:szCs w:val="28"/>
    </w:rPr>
  </w:style>
  <w:style w:type="paragraph" w:styleId="Heading2">
    <w:name w:val="heading 2"/>
    <w:aliases w:val="Arial Normal"/>
    <w:basedOn w:val="Normal"/>
    <w:next w:val="Normal"/>
    <w:link w:val="Heading2Char"/>
    <w:autoRedefine w:val="1"/>
    <w:uiPriority w:val="9"/>
    <w:unhideWhenUsed w:val="1"/>
    <w:qFormat w:val="1"/>
    <w:rsid w:val="00D1368D"/>
    <w:pPr>
      <w:keepNext w:val="1"/>
      <w:keepLines w:val="1"/>
      <w:spacing w:after="0" w:before="200"/>
      <w:outlineLvl w:val="1"/>
    </w:pPr>
    <w:rPr>
      <w:rFonts w:cstheme="majorBidi" w:eastAsiaTheme="majorEastAsia"/>
      <w:bCs w:val="1"/>
      <w:noProof w:val="1"/>
      <w:szCs w:val="26"/>
      <w:shd w:color="auto" w:fill="ffffff" w:val="clear"/>
      <w:lang w:eastAsia="en-GB"/>
    </w:rPr>
  </w:style>
  <w:style w:type="paragraph" w:styleId="Heading4">
    <w:name w:val="heading 4"/>
    <w:basedOn w:val="Normal"/>
    <w:next w:val="Normal"/>
    <w:link w:val="Heading4Char"/>
    <w:uiPriority w:val="9"/>
    <w:semiHidden w:val="1"/>
    <w:unhideWhenUsed w:val="1"/>
    <w:qFormat w:val="1"/>
    <w:rsid w:val="006556B8"/>
    <w:pPr>
      <w:keepNext w:val="1"/>
      <w:keepLines w:val="1"/>
      <w:spacing w:after="0" w:before="200"/>
      <w:outlineLvl w:val="3"/>
    </w:pPr>
    <w:rPr>
      <w:rFonts w:asciiTheme="majorHAnsi" w:cstheme="majorBidi" w:eastAsiaTheme="majorEastAsia" w:hAnsiTheme="majorHAnsi"/>
      <w:b w:val="0"/>
      <w:bCs w:val="1"/>
      <w:i w:val="1"/>
      <w:iCs w:val="1"/>
      <w:color w:val="4f81bd" w:themeColor="accent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link w:val="TitleChar"/>
    <w:autoRedefine w:val="1"/>
    <w:qFormat w:val="1"/>
    <w:rsid w:val="00DA4FDA"/>
    <w:pPr>
      <w:spacing w:after="240" w:line="240" w:lineRule="auto"/>
      <w:jc w:val="center"/>
    </w:pPr>
    <w:rPr>
      <w:rFonts w:cs="Arial" w:eastAsia="Times New Roman"/>
      <w:sz w:val="28"/>
      <w:lang w:val="en-US"/>
    </w:rPr>
  </w:style>
  <w:style w:type="character" w:styleId="TitleChar" w:customStyle="1">
    <w:name w:val="Title Char"/>
    <w:link w:val="Title"/>
    <w:rsid w:val="00DA4FDA"/>
    <w:rPr>
      <w:rFonts w:ascii="Arial" w:cs="Arial" w:eastAsia="Times New Roman" w:hAnsi="Arial"/>
      <w:b w:val="1"/>
      <w:sz w:val="28"/>
      <w:lang w:val="en-US"/>
    </w:rPr>
  </w:style>
  <w:style w:type="paragraph" w:styleId="TOC1">
    <w:name w:val="toc 1"/>
    <w:basedOn w:val="Normal"/>
    <w:next w:val="Normal"/>
    <w:autoRedefine w:val="1"/>
    <w:uiPriority w:val="39"/>
    <w:unhideWhenUsed w:val="1"/>
    <w:qFormat w:val="1"/>
    <w:rsid w:val="005864A7"/>
    <w:pPr>
      <w:tabs>
        <w:tab w:val="right" w:leader="dot" w:pos="9010"/>
      </w:tabs>
      <w:spacing w:after="0" w:line="240" w:lineRule="auto"/>
    </w:pPr>
    <w:rPr>
      <w:rFonts w:cs="Times New Roman" w:eastAsia="Calibri"/>
    </w:rPr>
  </w:style>
  <w:style w:type="paragraph" w:styleId="Header">
    <w:name w:val="header"/>
    <w:basedOn w:val="Normal"/>
    <w:link w:val="HeaderChar"/>
    <w:uiPriority w:val="99"/>
    <w:unhideWhenUsed w:val="1"/>
    <w:rsid w:val="004508BB"/>
    <w:pPr>
      <w:tabs>
        <w:tab w:val="center" w:pos="4513"/>
        <w:tab w:val="right" w:pos="9026"/>
      </w:tabs>
      <w:spacing w:after="0" w:line="240" w:lineRule="auto"/>
    </w:pPr>
  </w:style>
  <w:style w:type="character" w:styleId="HeaderChar" w:customStyle="1">
    <w:name w:val="Header Char"/>
    <w:basedOn w:val="DefaultParagraphFont"/>
    <w:link w:val="Header"/>
    <w:uiPriority w:val="99"/>
    <w:rsid w:val="004508BB"/>
  </w:style>
  <w:style w:type="paragraph" w:styleId="Footer">
    <w:name w:val="footer"/>
    <w:basedOn w:val="Normal"/>
    <w:link w:val="FooterChar"/>
    <w:uiPriority w:val="99"/>
    <w:unhideWhenUsed w:val="1"/>
    <w:rsid w:val="004508BB"/>
    <w:pPr>
      <w:tabs>
        <w:tab w:val="center" w:pos="4513"/>
        <w:tab w:val="right" w:pos="9026"/>
      </w:tabs>
      <w:spacing w:after="0" w:line="240" w:lineRule="auto"/>
    </w:pPr>
  </w:style>
  <w:style w:type="character" w:styleId="FooterChar" w:customStyle="1">
    <w:name w:val="Footer Char"/>
    <w:basedOn w:val="DefaultParagraphFont"/>
    <w:link w:val="Footer"/>
    <w:uiPriority w:val="99"/>
    <w:rsid w:val="004508BB"/>
  </w:style>
  <w:style w:type="paragraph" w:styleId="BalloonText">
    <w:name w:val="Balloon Text"/>
    <w:basedOn w:val="Normal"/>
    <w:link w:val="BalloonTextChar"/>
    <w:uiPriority w:val="99"/>
    <w:semiHidden w:val="1"/>
    <w:unhideWhenUsed w:val="1"/>
    <w:rsid w:val="004508BB"/>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4508BB"/>
    <w:rPr>
      <w:rFonts w:ascii="Tahoma" w:cs="Tahoma" w:hAnsi="Tahoma"/>
      <w:sz w:val="16"/>
      <w:szCs w:val="16"/>
    </w:rPr>
  </w:style>
  <w:style w:type="character" w:styleId="PlaceholderText">
    <w:name w:val="Placeholder Text"/>
    <w:basedOn w:val="DefaultParagraphFont"/>
    <w:uiPriority w:val="99"/>
    <w:semiHidden w:val="1"/>
    <w:rsid w:val="004508BB"/>
    <w:rPr>
      <w:color w:val="808080"/>
    </w:rPr>
  </w:style>
  <w:style w:type="character" w:styleId="Hyperlink">
    <w:name w:val="Hyperlink"/>
    <w:uiPriority w:val="99"/>
    <w:unhideWhenUsed w:val="1"/>
    <w:rsid w:val="004B62D0"/>
    <w:rPr>
      <w:color w:val="0000ff"/>
      <w:u w:val="single"/>
    </w:rPr>
  </w:style>
  <w:style w:type="table" w:styleId="TableGrid">
    <w:name w:val="Table Grid"/>
    <w:basedOn w:val="TableNormal"/>
    <w:uiPriority w:val="59"/>
    <w:rsid w:val="004B62D0"/>
    <w:pPr>
      <w:spacing w:after="0" w:line="240" w:lineRule="auto"/>
    </w:pPr>
    <w:rPr>
      <w:rFonts w:ascii="Calibri" w:cs="Times New Roman"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4B62D0"/>
    <w:pPr>
      <w:spacing w:after="0" w:line="240" w:lineRule="auto"/>
      <w:ind w:left="720"/>
      <w:contextualSpacing w:val="1"/>
    </w:pPr>
    <w:rPr>
      <w:rFonts w:ascii="Calibri" w:cs="Times New Roman" w:eastAsia="Calibri" w:hAnsi="Calibri"/>
    </w:rPr>
  </w:style>
  <w:style w:type="paragraph" w:styleId="Default" w:customStyle="1">
    <w:name w:val="Default"/>
    <w:rsid w:val="004B62D0"/>
    <w:pPr>
      <w:autoSpaceDE w:val="0"/>
      <w:autoSpaceDN w:val="0"/>
      <w:adjustRightInd w:val="0"/>
      <w:spacing w:after="0" w:line="240" w:lineRule="auto"/>
    </w:pPr>
    <w:rPr>
      <w:rFonts w:ascii="Arial" w:cs="Arial" w:hAnsi="Arial"/>
      <w:color w:val="000000"/>
      <w:sz w:val="24"/>
      <w:szCs w:val="24"/>
    </w:rPr>
  </w:style>
  <w:style w:type="paragraph" w:styleId="FootnoteText">
    <w:name w:val="footnote text"/>
    <w:basedOn w:val="Normal"/>
    <w:link w:val="FootnoteTextChar"/>
    <w:uiPriority w:val="99"/>
    <w:unhideWhenUsed w:val="1"/>
    <w:rsid w:val="004B62D0"/>
    <w:pPr>
      <w:spacing w:after="0" w:line="240" w:lineRule="auto"/>
    </w:pPr>
    <w:rPr>
      <w:rFonts w:ascii="Calibri" w:cs="Times New Roman" w:eastAsia="Calibri" w:hAnsi="Calibri"/>
      <w:sz w:val="20"/>
      <w:szCs w:val="20"/>
    </w:rPr>
  </w:style>
  <w:style w:type="character" w:styleId="FootnoteTextChar" w:customStyle="1">
    <w:name w:val="Footnote Text Char"/>
    <w:basedOn w:val="DefaultParagraphFont"/>
    <w:link w:val="FootnoteText"/>
    <w:uiPriority w:val="99"/>
    <w:rsid w:val="004B62D0"/>
    <w:rPr>
      <w:rFonts w:ascii="Calibri" w:cs="Times New Roman" w:eastAsia="Calibri" w:hAnsi="Calibri"/>
      <w:sz w:val="20"/>
      <w:szCs w:val="20"/>
    </w:rPr>
  </w:style>
  <w:style w:type="character" w:styleId="FootnoteReference">
    <w:name w:val="footnote reference"/>
    <w:basedOn w:val="DefaultParagraphFont"/>
    <w:uiPriority w:val="99"/>
    <w:semiHidden w:val="1"/>
    <w:unhideWhenUsed w:val="1"/>
    <w:rsid w:val="004B62D0"/>
    <w:rPr>
      <w:vertAlign w:val="superscript"/>
    </w:rPr>
  </w:style>
  <w:style w:type="table" w:styleId="TableGrid2" w:customStyle="1">
    <w:name w:val="Table Grid2"/>
    <w:basedOn w:val="TableNormal"/>
    <w:next w:val="TableGrid"/>
    <w:uiPriority w:val="59"/>
    <w:rsid w:val="004B62D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Spacing">
    <w:name w:val="No Spacing"/>
    <w:aliases w:val="Arial Title"/>
    <w:autoRedefine w:val="1"/>
    <w:uiPriority w:val="1"/>
    <w:qFormat w:val="1"/>
    <w:rsid w:val="00EF7E1E"/>
    <w:pPr>
      <w:spacing w:after="0"/>
      <w:jc w:val="center"/>
    </w:pPr>
    <w:rPr>
      <w:rFonts w:ascii="Arial" w:hAnsi="Arial"/>
      <w:b w:val="1"/>
      <w:sz w:val="28"/>
    </w:rPr>
  </w:style>
  <w:style w:type="character" w:styleId="Heading1Char" w:customStyle="1">
    <w:name w:val="Heading 1 Char"/>
    <w:basedOn w:val="DefaultParagraphFont"/>
    <w:link w:val="Heading1"/>
    <w:uiPriority w:val="9"/>
    <w:rsid w:val="00F73489"/>
    <w:rPr>
      <w:rFonts w:ascii="Arial" w:hAnsi="Arial"/>
      <w:b w:val="1"/>
      <w:sz w:val="28"/>
      <w:szCs w:val="28"/>
    </w:rPr>
  </w:style>
  <w:style w:type="character" w:styleId="Heading2Char" w:customStyle="1">
    <w:name w:val="Heading 2 Char"/>
    <w:aliases w:val="Arial Normal Char"/>
    <w:basedOn w:val="DefaultParagraphFont"/>
    <w:link w:val="Heading2"/>
    <w:uiPriority w:val="9"/>
    <w:rsid w:val="00D1368D"/>
    <w:rPr>
      <w:rFonts w:ascii="Arial" w:hAnsi="Arial" w:cstheme="majorBidi" w:eastAsiaTheme="majorEastAsia"/>
      <w:b w:val="1"/>
      <w:bCs w:val="1"/>
      <w:noProof w:val="1"/>
      <w:sz w:val="24"/>
      <w:szCs w:val="26"/>
      <w:lang w:eastAsia="en-GB"/>
    </w:rPr>
  </w:style>
  <w:style w:type="paragraph" w:styleId="Subtitle">
    <w:name w:val="Subtitle"/>
    <w:aliases w:val="Arial Quote"/>
    <w:basedOn w:val="Normal"/>
    <w:next w:val="Quote"/>
    <w:link w:val="SubtitleChar"/>
    <w:qFormat w:val="1"/>
    <w:rsid w:val="0088657A"/>
    <w:pPr>
      <w:spacing w:after="0" w:line="240" w:lineRule="auto"/>
      <w:ind w:right="-9"/>
    </w:pPr>
    <w:rPr>
      <w:rFonts w:cs="Arial" w:eastAsia="Calibri"/>
      <w:i w:val="1"/>
      <w:color w:val="404040" w:themeColor="text1" w:themeTint="0000BF"/>
      <w:szCs w:val="24"/>
    </w:rPr>
  </w:style>
  <w:style w:type="character" w:styleId="SubtitleChar" w:customStyle="1">
    <w:name w:val="Subtitle Char"/>
    <w:aliases w:val="Arial Quote Char"/>
    <w:basedOn w:val="DefaultParagraphFont"/>
    <w:link w:val="Subtitle"/>
    <w:rsid w:val="0088657A"/>
    <w:rPr>
      <w:rFonts w:ascii="Arial" w:cs="Arial" w:eastAsia="Calibri" w:hAnsi="Arial"/>
      <w:b w:val="1"/>
      <w:i w:val="1"/>
      <w:color w:val="404040" w:themeColor="text1" w:themeTint="0000BF"/>
      <w:sz w:val="24"/>
      <w:szCs w:val="24"/>
    </w:rPr>
  </w:style>
  <w:style w:type="paragraph" w:styleId="Arial12BoldHeading4" w:customStyle="1">
    <w:name w:val="Arial 12 Bold Heading 4"/>
    <w:basedOn w:val="Normal"/>
    <w:link w:val="Arial12BoldHeading4Char"/>
    <w:qFormat w:val="1"/>
    <w:rsid w:val="0088657A"/>
    <w:pPr>
      <w:keepNext w:val="1"/>
      <w:keepLines w:val="1"/>
      <w:spacing w:after="120" w:line="240" w:lineRule="auto"/>
      <w:outlineLvl w:val="3"/>
    </w:pPr>
    <w:rPr>
      <w:rFonts w:cs="Arial" w:eastAsiaTheme="majorEastAsia"/>
      <w:bCs w:val="1"/>
      <w:iCs w:val="1"/>
    </w:rPr>
  </w:style>
  <w:style w:type="character" w:styleId="Arial12BoldHeading4Char" w:customStyle="1">
    <w:name w:val="Arial 12 Bold Heading 4 Char"/>
    <w:basedOn w:val="DefaultParagraphFont"/>
    <w:link w:val="Arial12BoldHeading4"/>
    <w:rsid w:val="0088657A"/>
    <w:rPr>
      <w:rFonts w:ascii="Arial" w:cs="Arial" w:hAnsi="Arial" w:eastAsiaTheme="majorEastAsia"/>
      <w:b w:val="1"/>
      <w:bCs w:val="1"/>
      <w:iCs w:val="1"/>
      <w:sz w:val="24"/>
    </w:rPr>
  </w:style>
  <w:style w:type="paragraph" w:styleId="Quote">
    <w:name w:val="Quote"/>
    <w:basedOn w:val="Normal"/>
    <w:next w:val="Normal"/>
    <w:link w:val="QuoteChar"/>
    <w:uiPriority w:val="29"/>
    <w:qFormat w:val="1"/>
    <w:rsid w:val="0088657A"/>
    <w:rPr>
      <w:i w:val="1"/>
      <w:iCs w:val="1"/>
      <w:color w:val="000000" w:themeColor="text1"/>
    </w:rPr>
  </w:style>
  <w:style w:type="character" w:styleId="QuoteChar" w:customStyle="1">
    <w:name w:val="Quote Char"/>
    <w:basedOn w:val="DefaultParagraphFont"/>
    <w:link w:val="Quote"/>
    <w:uiPriority w:val="29"/>
    <w:rsid w:val="0088657A"/>
    <w:rPr>
      <w:rFonts w:ascii="Arial" w:hAnsi="Arial"/>
      <w:b w:val="1"/>
      <w:i w:val="1"/>
      <w:iCs w:val="1"/>
      <w:color w:val="000000" w:themeColor="text1"/>
      <w:sz w:val="24"/>
    </w:rPr>
  </w:style>
  <w:style w:type="paragraph" w:styleId="EndnoteText">
    <w:name w:val="endnote text"/>
    <w:basedOn w:val="Normal"/>
    <w:link w:val="EndnoteTextChar"/>
    <w:uiPriority w:val="99"/>
    <w:semiHidden w:val="1"/>
    <w:unhideWhenUsed w:val="1"/>
    <w:rsid w:val="00175840"/>
    <w:pPr>
      <w:spacing w:after="0" w:line="240" w:lineRule="auto"/>
    </w:pPr>
    <w:rPr>
      <w:sz w:val="20"/>
      <w:szCs w:val="20"/>
    </w:rPr>
  </w:style>
  <w:style w:type="character" w:styleId="EndnoteTextChar" w:customStyle="1">
    <w:name w:val="Endnote Text Char"/>
    <w:basedOn w:val="DefaultParagraphFont"/>
    <w:link w:val="EndnoteText"/>
    <w:uiPriority w:val="99"/>
    <w:semiHidden w:val="1"/>
    <w:rsid w:val="00175840"/>
    <w:rPr>
      <w:rFonts w:ascii="Arial" w:hAnsi="Arial"/>
      <w:b w:val="1"/>
      <w:sz w:val="20"/>
      <w:szCs w:val="20"/>
    </w:rPr>
  </w:style>
  <w:style w:type="character" w:styleId="EndnoteReference">
    <w:name w:val="endnote reference"/>
    <w:basedOn w:val="DefaultParagraphFont"/>
    <w:uiPriority w:val="99"/>
    <w:semiHidden w:val="1"/>
    <w:unhideWhenUsed w:val="1"/>
    <w:rsid w:val="00175840"/>
    <w:rPr>
      <w:vertAlign w:val="superscript"/>
    </w:rPr>
  </w:style>
  <w:style w:type="paragraph" w:styleId="RobotoHeading4" w:customStyle="1">
    <w:name w:val="Roboto Heading 4"/>
    <w:basedOn w:val="Heading4"/>
    <w:link w:val="RobotoHeading4Char"/>
    <w:rsid w:val="006556B8"/>
    <w:rPr>
      <w:rFonts w:ascii="Roboto" w:hAnsi="Roboto"/>
      <w:b w:val="1"/>
      <w:i w:val="0"/>
      <w:color w:val="404040" w:themeColor="text1" w:themeTint="0000BF"/>
    </w:rPr>
  </w:style>
  <w:style w:type="character" w:styleId="RobotoHeading4Char" w:customStyle="1">
    <w:name w:val="Roboto Heading 4 Char"/>
    <w:basedOn w:val="Heading4Char"/>
    <w:link w:val="RobotoHeading4"/>
    <w:rsid w:val="006556B8"/>
    <w:rPr>
      <w:rFonts w:ascii="Roboto" w:hAnsi="Roboto" w:cstheme="majorBidi" w:eastAsiaTheme="majorEastAsia"/>
      <w:b w:val="1"/>
      <w:bCs w:val="1"/>
      <w:i w:val="0"/>
      <w:iCs w:val="1"/>
      <w:color w:val="404040" w:themeColor="text1" w:themeTint="0000BF"/>
      <w:sz w:val="24"/>
    </w:rPr>
  </w:style>
  <w:style w:type="character" w:styleId="Heading4Char" w:customStyle="1">
    <w:name w:val="Heading 4 Char"/>
    <w:basedOn w:val="DefaultParagraphFont"/>
    <w:link w:val="Heading4"/>
    <w:uiPriority w:val="9"/>
    <w:semiHidden w:val="1"/>
    <w:rsid w:val="006556B8"/>
    <w:rPr>
      <w:rFonts w:asciiTheme="majorHAnsi" w:cstheme="majorBidi" w:eastAsiaTheme="majorEastAsia" w:hAnsiTheme="majorHAnsi"/>
      <w:bCs w:val="1"/>
      <w:i w:val="1"/>
      <w:iCs w:val="1"/>
      <w:color w:val="4f81bd" w:themeColor="accent1"/>
      <w:sz w:val="24"/>
    </w:rPr>
  </w:style>
  <w:style w:type="paragraph" w:styleId="Roboto12Normal" w:customStyle="1">
    <w:name w:val="Roboto 12 Normal"/>
    <w:basedOn w:val="Normal"/>
    <w:link w:val="Roboto12NormalChar"/>
    <w:qFormat w:val="1"/>
    <w:rsid w:val="002A1306"/>
    <w:pPr>
      <w:spacing w:after="0" w:line="240" w:lineRule="auto"/>
    </w:pPr>
    <w:rPr>
      <w:rFonts w:ascii="Roboto" w:hAnsi="Roboto"/>
      <w:b w:val="0"/>
    </w:rPr>
  </w:style>
  <w:style w:type="paragraph" w:styleId="Roboto12BoldHeading4" w:customStyle="1">
    <w:name w:val="Roboto 12 Bold Heading 4"/>
    <w:basedOn w:val="RobotoHeading4"/>
    <w:link w:val="Roboto12BoldHeading4Char"/>
    <w:qFormat w:val="1"/>
    <w:rsid w:val="002A1306"/>
    <w:pPr>
      <w:spacing w:after="120" w:before="0" w:line="240" w:lineRule="auto"/>
    </w:pPr>
  </w:style>
  <w:style w:type="character" w:styleId="Roboto12NormalChar" w:customStyle="1">
    <w:name w:val="Roboto 12 Normal Char"/>
    <w:basedOn w:val="DefaultParagraphFont"/>
    <w:link w:val="Roboto12Normal"/>
    <w:rsid w:val="002A1306"/>
    <w:rPr>
      <w:rFonts w:ascii="Roboto" w:hAnsi="Roboto"/>
      <w:sz w:val="24"/>
    </w:rPr>
  </w:style>
  <w:style w:type="character" w:styleId="Roboto12BoldHeading4Char" w:customStyle="1">
    <w:name w:val="Roboto 12 Bold Heading 4 Char"/>
    <w:basedOn w:val="RobotoHeading4Char"/>
    <w:link w:val="Roboto12BoldHeading4"/>
    <w:rsid w:val="002A1306"/>
    <w:rPr>
      <w:rFonts w:ascii="Roboto" w:hAnsi="Roboto" w:cstheme="majorBidi" w:eastAsiaTheme="majorEastAsia"/>
      <w:b w:val="1"/>
      <w:bCs w:val="1"/>
      <w:i w:val="0"/>
      <w:iCs w:val="1"/>
      <w:color w:val="404040" w:themeColor="text1" w:themeTint="0000BF"/>
      <w:sz w:val="24"/>
    </w:rPr>
  </w:style>
  <w:style w:type="paragraph" w:styleId="Paratext" w:customStyle="1">
    <w:name w:val="Para text"/>
    <w:basedOn w:val="Normal"/>
    <w:link w:val="ParatextChar"/>
    <w:qFormat w:val="1"/>
    <w:rsid w:val="002A1306"/>
    <w:pPr>
      <w:spacing w:after="0" w:line="240" w:lineRule="auto"/>
    </w:pPr>
    <w:rPr>
      <w:rFonts w:cs="Arial" w:eastAsia="Calibri"/>
      <w:b w:val="0"/>
      <w:szCs w:val="24"/>
    </w:rPr>
  </w:style>
  <w:style w:type="character" w:styleId="ParatextChar" w:customStyle="1">
    <w:name w:val="Para text Char"/>
    <w:basedOn w:val="DefaultParagraphFont"/>
    <w:link w:val="Paratext"/>
    <w:rsid w:val="002A1306"/>
    <w:rPr>
      <w:rFonts w:ascii="Arial" w:cs="Arial" w:eastAsia="Calibri" w:hAnsi="Arial"/>
      <w:sz w:val="24"/>
      <w:szCs w:val="24"/>
    </w:rPr>
  </w:style>
  <w:style w:type="paragraph" w:styleId="Arial12Normal" w:customStyle="1">
    <w:name w:val="Arial 12 Normal"/>
    <w:basedOn w:val="Roboto12Normal"/>
    <w:link w:val="Arial12NormalChar"/>
    <w:qFormat w:val="1"/>
    <w:rsid w:val="002A1306"/>
    <w:rPr>
      <w:rFonts w:ascii="Arial" w:cs="Arial" w:hAnsi="Arial"/>
    </w:rPr>
  </w:style>
  <w:style w:type="character" w:styleId="Arial12NormalChar" w:customStyle="1">
    <w:name w:val="Arial 12 Normal Char"/>
    <w:basedOn w:val="Roboto12NormalChar"/>
    <w:link w:val="Arial12Normal"/>
    <w:rsid w:val="002A1306"/>
    <w:rPr>
      <w:rFonts w:ascii="Arial" w:cs="Arial" w:hAnsi="Arial"/>
      <w:sz w:val="24"/>
    </w:rPr>
  </w:style>
  <w:style w:type="character" w:styleId="FollowedHyperlink">
    <w:name w:val="FollowedHyperlink"/>
    <w:basedOn w:val="DefaultParagraphFont"/>
    <w:uiPriority w:val="99"/>
    <w:semiHidden w:val="1"/>
    <w:unhideWhenUsed w:val="1"/>
    <w:rsid w:val="009708D1"/>
    <w:rPr>
      <w:color w:val="800080" w:themeColor="followedHyperlink"/>
      <w:u w:val="single"/>
    </w:rPr>
  </w:style>
  <w:style w:type="paragraph" w:styleId="BodyText">
    <w:name w:val="Body Text"/>
    <w:basedOn w:val="Normal"/>
    <w:link w:val="BodyTextChar"/>
    <w:uiPriority w:val="1"/>
    <w:qFormat w:val="1"/>
    <w:rsid w:val="00D1368D"/>
    <w:pPr>
      <w:widowControl w:val="0"/>
      <w:spacing w:after="0" w:line="240" w:lineRule="auto"/>
      <w:ind w:left="2160" w:hanging="360"/>
    </w:pPr>
    <w:rPr>
      <w:rFonts w:eastAsia="Arial"/>
      <w:b w:val="0"/>
      <w:szCs w:val="24"/>
      <w:lang w:val="en-US"/>
    </w:rPr>
  </w:style>
  <w:style w:type="character" w:styleId="BodyTextChar" w:customStyle="1">
    <w:name w:val="Body Text Char"/>
    <w:basedOn w:val="DefaultParagraphFont"/>
    <w:link w:val="BodyText"/>
    <w:uiPriority w:val="1"/>
    <w:rsid w:val="00D1368D"/>
    <w:rPr>
      <w:rFonts w:ascii="Arial" w:eastAsia="Arial" w:hAnsi="Arial"/>
      <w:sz w:val="24"/>
      <w:szCs w:val="24"/>
      <w:lang w:val="en-US"/>
    </w:rPr>
  </w:style>
  <w:style w:type="table" w:styleId="TableGrid1" w:customStyle="1">
    <w:name w:val="Table Grid1"/>
    <w:basedOn w:val="TableNormal"/>
    <w:next w:val="TableGrid"/>
    <w:uiPriority w:val="59"/>
    <w:rsid w:val="006746FD"/>
    <w:pPr>
      <w:spacing w:after="0" w:line="240" w:lineRule="auto"/>
    </w:pPr>
    <w:rPr>
      <w:rFonts w:ascii="Calibri" w:cs="Times New Roman"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spacing w:after="0" w:line="240" w:lineRule="auto"/>
      <w:ind w:right="-9"/>
    </w:pPr>
    <w:rPr>
      <w:i w:val="1"/>
      <w:color w:val="404040"/>
    </w:rPr>
  </w:style>
  <w:style w:type="table" w:styleId="Table1">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spacing w:after="0" w:line="240" w:lineRule="auto"/>
      <w:ind w:right="-9"/>
    </w:pPr>
    <w:rPr>
      <w:i w:val="1"/>
      <w:color w:val="404040"/>
    </w:rPr>
  </w:style>
  <w:style w:type="table" w:styleId="Table1">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gov.uk/government/publications/equality-act-guidance-for-charities/equality-act-guidance-for-charities#other-exceptions-relevant-to-charities" TargetMode="External"/><Relationship Id="rId10" Type="http://schemas.openxmlformats.org/officeDocument/2006/relationships/hyperlink" Target="https://www.equalityhumanrights.com/en/advice-and-guidance/how-your-organisation-should-treat-volunteers" TargetMode="External"/><Relationship Id="rId13" Type="http://schemas.openxmlformats.org/officeDocument/2006/relationships/hyperlink" Target="https://knowhownonprofit.org/people/volunteers/recruiting/equality-and-diversity" TargetMode="External"/><Relationship Id="rId12" Type="http://schemas.openxmlformats.org/officeDocument/2006/relationships/hyperlink" Target="https://www.gov.uk/volunteering/volunteers-right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overnment/publications/equality-act-guidance-for-charities/equality-act-guidance-for-charities#other-exceptions-relevant-to-charities" TargetMode="External"/><Relationship Id="rId15" Type="http://schemas.openxmlformats.org/officeDocument/2006/relationships/header" Target="header2.xml"/><Relationship Id="rId14" Type="http://schemas.openxmlformats.org/officeDocument/2006/relationships/hyperlink" Target="https://www.equalityhumanrights.com/en/advice-and-guidance/how-your-organisation-should-treat-volunteers" TargetMode="External"/><Relationship Id="rId17" Type="http://schemas.openxmlformats.org/officeDocument/2006/relationships/footer" Target="footer2.xm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1.xml"/><Relationship Id="rId7" Type="http://schemas.openxmlformats.org/officeDocument/2006/relationships/hyperlink" Target="http://www.legislation.gov.uk/ukpga/2010/15/section/4" TargetMode="External"/><Relationship Id="rId8" Type="http://schemas.openxmlformats.org/officeDocument/2006/relationships/hyperlink" Target="https://www.disabilityrightsuk.org/x-v-mid-sussex-citizens-advice-burea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FiraMono-regular.ttf"/><Relationship Id="rId2" Type="http://schemas.openxmlformats.org/officeDocument/2006/relationships/font" Target="fonts/FiraMono-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 Id="rId2" Type="http://schemas.openxmlformats.org/officeDocument/2006/relationships/hyperlink" Target="http://www.wcava.org.uk/resource-library/strategic-planning-volunteer-involvement" TargetMode="External"/><Relationship Id="rId3"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McyNLrrMBb6hiO3L158NwrS3X8A==">AMUW2mUw5EpTsO6znZVsowf2L2Z8gNvU01jkdksxG0eMAK+tAwlbv/C73ZxhBnBNiQ2JET10VaxIY7OWm7Q8qZrmLw42Dnsu/iH1tmgFmItblJLw8/6f/BpaEqyGdg9gwAqJUn1VgUr/4pHO/RC7OrfN3GBdvVuuHqaDNQe6PXQ9281YYiQNMV2TwjXBfRdZ03RjDVmcrqq2YK0G893SJjVR8W5mc/gDfA==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2020-08-03T11:59:00Z</dcterms:created>
  <dc:creator>Sam Elvyhart</dc:creator>
</cp:coreProperties>
</file>